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A" w:rsidRDefault="00DB66CC" w:rsidP="00DB66CC">
      <w:pPr>
        <w:spacing w:line="280" w:lineRule="auto"/>
        <w:rPr>
          <w:lang w:val="bg-BG"/>
        </w:rPr>
      </w:pPr>
      <w:r>
        <w:rPr>
          <w:lang w:val="bg-BG"/>
        </w:rPr>
        <w:t xml:space="preserve">        </w:t>
      </w:r>
    </w:p>
    <w:p w:rsidR="00E56133" w:rsidRPr="00E56133" w:rsidRDefault="00DB66CC" w:rsidP="00DB66CC">
      <w:pPr>
        <w:pStyle w:val="2"/>
        <w:rPr>
          <w:rFonts w:ascii="Verdana" w:hAnsi="Verdana"/>
          <w:szCs w:val="24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</w:t>
      </w:r>
      <w:r w:rsidR="00E56133">
        <w:rPr>
          <w:rFonts w:ascii="Verdana" w:hAnsi="Verdana"/>
          <w:sz w:val="20"/>
        </w:rPr>
        <w:t xml:space="preserve">     </w:t>
      </w:r>
      <w:r w:rsidR="000242A1">
        <w:rPr>
          <w:rFonts w:ascii="Verdana" w:hAnsi="Verdana"/>
          <w:sz w:val="20"/>
        </w:rPr>
        <w:t xml:space="preserve"> </w:t>
      </w:r>
      <w:r w:rsidR="000242A1" w:rsidRPr="00E56133">
        <w:rPr>
          <w:rFonts w:ascii="Verdana" w:hAnsi="Verdana"/>
          <w:szCs w:val="24"/>
        </w:rPr>
        <w:t xml:space="preserve">ЗАПОВЕД </w:t>
      </w:r>
    </w:p>
    <w:p w:rsidR="00DB66CC" w:rsidRDefault="00E56133" w:rsidP="00E56133">
      <w:pPr>
        <w:ind w:left="-720"/>
        <w:jc w:val="center"/>
        <w:rPr>
          <w:rFonts w:ascii="Verdana" w:hAnsi="Verdana"/>
          <w:sz w:val="20"/>
          <w:szCs w:val="20"/>
          <w:lang w:val="bg-BG"/>
        </w:rPr>
      </w:pPr>
      <w:r>
        <w:rPr>
          <w:b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0D7A2948-33F0-4638-BBEC-881E8976E3FF}" provid="{00000000-0000-0000-0000-000000000000}" o:suggestedsigner="Рег. № 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E54700">
        <w:rPr>
          <w:rFonts w:ascii="Verdana" w:hAnsi="Verdana"/>
          <w:color w:val="FF0000"/>
          <w:sz w:val="20"/>
          <w:szCs w:val="20"/>
          <w:lang w:val="bg-BG"/>
        </w:rPr>
        <w:t>РД-07-684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54700">
        <w:rPr>
          <w:rFonts w:ascii="Verdana" w:hAnsi="Verdana"/>
          <w:color w:val="FF0000"/>
          <w:sz w:val="20"/>
          <w:szCs w:val="20"/>
          <w:lang w:val="bg-BG"/>
        </w:rPr>
        <w:t>12.11.2024</w:t>
      </w:r>
      <w:bookmarkStart w:id="0" w:name="_GoBack"/>
      <w:bookmarkEnd w:id="0"/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E56133">
        <w:rPr>
          <w:rFonts w:ascii="Verdana" w:hAnsi="Verdana"/>
          <w:b/>
          <w:color w:val="FF0000"/>
          <w:sz w:val="20"/>
          <w:szCs w:val="20"/>
          <w:lang w:val="bg-BG"/>
        </w:rPr>
        <w:t>24502403-Е-1</w:t>
      </w:r>
      <w:r w:rsidR="0070435A" w:rsidRPr="007C0684">
        <w:rPr>
          <w:rFonts w:ascii="Verdana" w:hAnsi="Verdana"/>
          <w:b/>
          <w:color w:val="FF0000"/>
          <w:sz w:val="20"/>
          <w:szCs w:val="20"/>
          <w:lang w:val="bg-BG"/>
        </w:rPr>
        <w:t>,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E56133">
        <w:rPr>
          <w:rFonts w:ascii="Verdana" w:hAnsi="Verdana"/>
          <w:b/>
          <w:sz w:val="20"/>
          <w:szCs w:val="20"/>
          <w:lang w:val="bg-BG"/>
        </w:rPr>
        <w:t>299в,305в,45б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56133">
        <w:rPr>
          <w:rFonts w:ascii="Verdana" w:hAnsi="Verdana"/>
          <w:b/>
          <w:sz w:val="20"/>
          <w:szCs w:val="20"/>
          <w:lang w:val="ru-RU"/>
        </w:rPr>
        <w:t>29.11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E56133">
        <w:rPr>
          <w:rFonts w:ascii="Verdana" w:hAnsi="Verdana"/>
          <w:b/>
          <w:sz w:val="20"/>
          <w:szCs w:val="20"/>
          <w:lang w:val="ru-RU"/>
        </w:rPr>
        <w:t>4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E56133">
        <w:rPr>
          <w:rFonts w:ascii="Verdana" w:hAnsi="Verdana"/>
          <w:color w:val="FF0000"/>
          <w:sz w:val="20"/>
          <w:szCs w:val="20"/>
          <w:lang w:val="ru-RU"/>
        </w:rPr>
        <w:t>№2900-7466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56133">
        <w:rPr>
          <w:rFonts w:ascii="Verdana" w:hAnsi="Verdana"/>
          <w:sz w:val="20"/>
          <w:szCs w:val="20"/>
          <w:lang w:val="bg-BG"/>
        </w:rPr>
        <w:t>728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56133">
        <w:rPr>
          <w:rFonts w:ascii="Verdana" w:hAnsi="Verdana"/>
          <w:color w:val="FF0000"/>
          <w:sz w:val="20"/>
          <w:szCs w:val="20"/>
          <w:lang w:val="bg-BG"/>
        </w:rPr>
        <w:t>28.11.2024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E56133">
        <w:rPr>
          <w:rFonts w:ascii="Verdana" w:hAnsi="Verdana"/>
          <w:sz w:val="20"/>
          <w:szCs w:val="20"/>
          <w:lang w:val="bg-BG"/>
        </w:rPr>
        <w:t>РД-07-945/05.11.2024</w:t>
      </w:r>
      <w:r w:rsidRPr="006B3CBE">
        <w:rPr>
          <w:rFonts w:ascii="Verdana" w:hAnsi="Verdana"/>
          <w:sz w:val="20"/>
          <w:szCs w:val="20"/>
          <w:lang w:val="bg-BG"/>
        </w:rPr>
        <w:t xml:space="preserve"> год. на Директора на „ЮЗДП”ДП,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E56133">
        <w:rPr>
          <w:rFonts w:ascii="Verdana" w:hAnsi="Verdana"/>
          <w:b/>
          <w:color w:val="FF0000"/>
          <w:sz w:val="20"/>
          <w:szCs w:val="20"/>
          <w:lang w:val="bg-BG"/>
        </w:rPr>
        <w:t>24502403-Е-1</w:t>
      </w:r>
      <w:r w:rsidR="006D00F0" w:rsidRPr="006D00F0">
        <w:rPr>
          <w:rFonts w:ascii="Verdana" w:hAnsi="Verdana"/>
          <w:b/>
          <w:color w:val="FF0000"/>
          <w:sz w:val="20"/>
          <w:szCs w:val="20"/>
          <w:lang w:val="bg-BG"/>
        </w:rPr>
        <w:t>,</w:t>
      </w:r>
      <w:r w:rsidR="006D00F0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E56133">
        <w:rPr>
          <w:rFonts w:ascii="Verdana" w:hAnsi="Verdana"/>
          <w:b/>
          <w:sz w:val="20"/>
          <w:szCs w:val="20"/>
          <w:lang w:val="bg-BG"/>
        </w:rPr>
        <w:t>299в,305в,45б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92"/>
        <w:gridCol w:w="1134"/>
        <w:gridCol w:w="3345"/>
        <w:gridCol w:w="1224"/>
        <w:gridCol w:w="2268"/>
        <w:gridCol w:w="1134"/>
      </w:tblGrid>
      <w:tr w:rsidR="00BC1818" w:rsidRPr="00BC1818" w:rsidTr="005B6EA8">
        <w:tc>
          <w:tcPr>
            <w:tcW w:w="818" w:type="dxa"/>
            <w:vAlign w:val="center"/>
          </w:tcPr>
          <w:p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992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1134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BC1818" w:rsidRPr="00BC1818" w:rsidTr="005B6EA8">
        <w:trPr>
          <w:trHeight w:val="2655"/>
        </w:trPr>
        <w:tc>
          <w:tcPr>
            <w:tcW w:w="818" w:type="dxa"/>
            <w:vAlign w:val="center"/>
          </w:tcPr>
          <w:p w:rsidR="00BC1818" w:rsidRPr="00BC1818" w:rsidRDefault="00E56133" w:rsidP="00713F5D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24502403-Е-1</w:t>
            </w:r>
          </w:p>
        </w:tc>
        <w:tc>
          <w:tcPr>
            <w:tcW w:w="992" w:type="dxa"/>
          </w:tcPr>
          <w:p w:rsidR="00BC1818" w:rsidRPr="00BC1818" w:rsidRDefault="00BC1818" w:rsidP="000310A1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BC1818" w:rsidRDefault="00BC1818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4901A9" w:rsidRDefault="004901A9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4901A9" w:rsidRDefault="004901A9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EE32A2" w:rsidRDefault="00EE32A2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BC1818" w:rsidRPr="00BC1818" w:rsidRDefault="00474FAC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17 982,00</w:t>
            </w:r>
          </w:p>
        </w:tc>
        <w:tc>
          <w:tcPr>
            <w:tcW w:w="1134" w:type="dxa"/>
          </w:tcPr>
          <w:p w:rsidR="00BC1818" w:rsidRDefault="00BC1818" w:rsidP="000310A1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4901A9" w:rsidRDefault="004901A9" w:rsidP="000310A1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4901A9" w:rsidRDefault="004901A9" w:rsidP="000310A1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BC1818" w:rsidRDefault="00BC1818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9D1A3D" w:rsidRDefault="009D1A3D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E11FD0" w:rsidRDefault="00E11FD0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BC1818" w:rsidRPr="00BC1818" w:rsidRDefault="00474FAC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103,43</w:t>
            </w:r>
            <w:r w:rsidR="00F6702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160224">
              <w:rPr>
                <w:rFonts w:ascii="Verdana" w:hAnsi="Verdana"/>
                <w:sz w:val="20"/>
                <w:szCs w:val="20"/>
                <w:lang w:val="bg-BG"/>
              </w:rPr>
              <w:t>м3</w:t>
            </w:r>
          </w:p>
        </w:tc>
        <w:tc>
          <w:tcPr>
            <w:tcW w:w="3345" w:type="dxa"/>
            <w:vAlign w:val="center"/>
          </w:tcPr>
          <w:p w:rsidR="00BC1818" w:rsidRPr="00BC1818" w:rsidRDefault="00DB3377" w:rsidP="002E2127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474FAC">
              <w:rPr>
                <w:rFonts w:ascii="Verdana" w:hAnsi="Verdana"/>
                <w:b/>
                <w:sz w:val="20"/>
                <w:lang w:val="bg-BG"/>
              </w:rPr>
              <w:t>САВАШ-78</w:t>
            </w:r>
            <w:r w:rsidR="00D24D55">
              <w:rPr>
                <w:rFonts w:ascii="Verdana" w:hAnsi="Verdana"/>
                <w:b/>
                <w:sz w:val="20"/>
                <w:lang w:val="bg-BG"/>
              </w:rPr>
              <w:t>“</w:t>
            </w:r>
            <w:r w:rsidR="00474FAC"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="00474FAC">
              <w:rPr>
                <w:rFonts w:ascii="Verdana" w:hAnsi="Verdana"/>
                <w:sz w:val="20"/>
                <w:lang w:val="bg-BG"/>
              </w:rPr>
              <w:t>, гр. Якоруда 2790</w:t>
            </w:r>
            <w:r w:rsidR="00D24D55">
              <w:rPr>
                <w:rFonts w:ascii="Verdana" w:hAnsi="Verdana"/>
                <w:sz w:val="20"/>
                <w:lang w:val="bg-BG"/>
              </w:rPr>
              <w:t>,</w:t>
            </w:r>
            <w:r w:rsidR="00474FAC">
              <w:rPr>
                <w:rFonts w:ascii="Verdana" w:hAnsi="Verdana"/>
                <w:sz w:val="20"/>
                <w:lang w:val="bg-BG"/>
              </w:rPr>
              <w:t xml:space="preserve"> ул. Първа № 5,</w:t>
            </w:r>
            <w:r w:rsidR="00D24D55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474FAC">
              <w:rPr>
                <w:rFonts w:ascii="Verdana" w:hAnsi="Verdana"/>
                <w:sz w:val="20"/>
                <w:lang w:val="bg-BG"/>
              </w:rPr>
              <w:t>община Якоруда, с ЕИК: 202809020</w:t>
            </w:r>
            <w:r w:rsidR="00D24D55">
              <w:rPr>
                <w:rFonts w:ascii="Verdana" w:hAnsi="Verdana"/>
                <w:sz w:val="20"/>
                <w:lang w:val="bg-BG"/>
              </w:rPr>
              <w:t xml:space="preserve">, с управител  </w:t>
            </w:r>
            <w:r w:rsidR="002E2127">
              <w:rPr>
                <w:rFonts w:ascii="Verdana" w:hAnsi="Verdana"/>
                <w:sz w:val="20"/>
                <w:lang w:val="bg-BG"/>
              </w:rPr>
              <w:t>Мехмед Хасан Шабан</w:t>
            </w:r>
            <w:r w:rsidR="00D24D55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D24D55">
              <w:rPr>
                <w:rFonts w:ascii="Verdana" w:hAnsi="Verdana"/>
                <w:sz w:val="20"/>
                <w:szCs w:val="20"/>
                <w:lang w:val="bg-BG"/>
              </w:rPr>
              <w:t xml:space="preserve">на основание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5 и ал.4</w:t>
            </w:r>
            <w:r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– участник първи по време  потвърдил пос</w:t>
            </w:r>
            <w:r w:rsidR="002E2127">
              <w:rPr>
                <w:rFonts w:ascii="Verdana" w:hAnsi="Verdana"/>
                <w:sz w:val="20"/>
                <w:szCs w:val="20"/>
                <w:lang w:val="bg-BG"/>
              </w:rPr>
              <w:t>ледната стъпка на наддаване в 09:30:45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224" w:type="dxa"/>
            <w:vAlign w:val="center"/>
          </w:tcPr>
          <w:p w:rsidR="00BC1818" w:rsidRPr="00BC1818" w:rsidRDefault="002E2127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18 162,00</w:t>
            </w:r>
          </w:p>
        </w:tc>
        <w:tc>
          <w:tcPr>
            <w:tcW w:w="2268" w:type="dxa"/>
            <w:vAlign w:val="center"/>
          </w:tcPr>
          <w:p w:rsidR="00BC1818" w:rsidRPr="005B25AE" w:rsidRDefault="00137CDE" w:rsidP="002E2127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B77EF3">
              <w:rPr>
                <w:rFonts w:ascii="Verdana" w:hAnsi="Verdana"/>
                <w:sz w:val="20"/>
                <w:u w:val="none"/>
                <w:lang w:val="bg-BG"/>
              </w:rPr>
              <w:t>„</w:t>
            </w:r>
            <w:r w:rsidR="002E2127">
              <w:rPr>
                <w:rFonts w:ascii="Verdana" w:hAnsi="Verdana"/>
                <w:sz w:val="20"/>
                <w:u w:val="none"/>
                <w:lang w:val="bg-BG"/>
              </w:rPr>
              <w:t>ЧАЛА-ЛЕС</w:t>
            </w:r>
            <w:r w:rsidR="00DB3377">
              <w:rPr>
                <w:rFonts w:ascii="Verdana" w:hAnsi="Verdana"/>
                <w:sz w:val="20"/>
                <w:u w:val="none"/>
                <w:lang w:val="bg-BG"/>
              </w:rPr>
              <w:t xml:space="preserve">“ </w:t>
            </w:r>
            <w:r w:rsidR="002E2127">
              <w:rPr>
                <w:rFonts w:ascii="Verdana" w:hAnsi="Verdana"/>
                <w:sz w:val="20"/>
                <w:u w:val="none"/>
                <w:lang w:val="bg-BG"/>
              </w:rPr>
              <w:t>Е</w:t>
            </w:r>
            <w:r w:rsidR="00606815" w:rsidRPr="00B77EF3">
              <w:rPr>
                <w:rFonts w:ascii="Verdana" w:hAnsi="Verdana"/>
                <w:sz w:val="20"/>
                <w:u w:val="none"/>
                <w:lang w:val="bg-BG"/>
              </w:rPr>
              <w:t>ООД</w:t>
            </w:r>
            <w:r w:rsidR="00606815" w:rsidRPr="004661D1">
              <w:rPr>
                <w:rFonts w:ascii="Verdana" w:hAnsi="Verdana"/>
                <w:sz w:val="20"/>
                <w:u w:val="none"/>
                <w:lang w:val="bg-BG"/>
              </w:rPr>
              <w:t xml:space="preserve">, </w:t>
            </w:r>
            <w:r w:rsidR="00DB3377">
              <w:rPr>
                <w:rFonts w:ascii="Verdana" w:hAnsi="Verdana"/>
                <w:b w:val="0"/>
                <w:sz w:val="20"/>
                <w:u w:val="none"/>
                <w:lang w:val="bg-BG"/>
              </w:rPr>
              <w:t>с</w:t>
            </w:r>
            <w:r w:rsidR="002E2127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. Брезница 2970, ул. </w:t>
            </w:r>
            <w:r w:rsidR="002E2127" w:rsidRPr="002E2127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Ридът </w:t>
            </w:r>
            <w:r w:rsidR="002E2127" w:rsidRPr="002E2127">
              <w:rPr>
                <w:rFonts w:ascii="Verdana" w:hAnsi="Verdana"/>
                <w:b w:val="0"/>
                <w:sz w:val="20"/>
                <w:lang w:val="bg-BG"/>
              </w:rPr>
              <w:t>№</w:t>
            </w:r>
            <w:r w:rsidR="002E2127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21</w:t>
            </w:r>
            <w:r w:rsidR="00DB3377">
              <w:rPr>
                <w:rFonts w:ascii="Verdana" w:hAnsi="Verdana"/>
                <w:b w:val="0"/>
                <w:sz w:val="20"/>
                <w:u w:val="none"/>
                <w:lang w:val="bg-BG"/>
              </w:rPr>
              <w:t>, община Гоце Делчев</w:t>
            </w:r>
            <w:r w:rsidR="00606815" w:rsidRPr="0022615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</w:t>
            </w:r>
            <w:r w:rsidR="00606815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с </w:t>
            </w:r>
            <w:r w:rsidR="00DB3377">
              <w:rPr>
                <w:rFonts w:ascii="Verdana" w:hAnsi="Verdana"/>
                <w:sz w:val="20"/>
                <w:u w:val="none"/>
                <w:lang w:val="bg-BG"/>
              </w:rPr>
              <w:t xml:space="preserve">ЕИК: </w:t>
            </w:r>
            <w:r w:rsidR="002E2127">
              <w:rPr>
                <w:rFonts w:ascii="Verdana" w:hAnsi="Verdana"/>
                <w:sz w:val="20"/>
                <w:u w:val="none"/>
                <w:lang w:val="bg-BG"/>
              </w:rPr>
              <w:t>202063275</w:t>
            </w:r>
            <w:r w:rsidR="00606815" w:rsidRPr="0022615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 управител </w:t>
            </w:r>
            <w:r w:rsidR="002E2127">
              <w:rPr>
                <w:rFonts w:ascii="Verdana" w:hAnsi="Verdana"/>
                <w:b w:val="0"/>
                <w:sz w:val="20"/>
                <w:u w:val="none"/>
                <w:lang w:val="bg-BG"/>
              </w:rPr>
              <w:t>Реджеп Реджеп Черкез</w:t>
            </w:r>
            <w:r w:rsidR="002E4A4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  <w:r w:rsidR="00DB3377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на основание </w:t>
            </w:r>
            <w:r w:rsidR="00DB3377" w:rsidRPr="00997D31">
              <w:rPr>
                <w:rFonts w:ascii="Verdana" w:hAnsi="Verdana"/>
                <w:sz w:val="20"/>
                <w:u w:val="none"/>
                <w:lang w:val="bg-BG"/>
              </w:rPr>
              <w:t xml:space="preserve">чл. 74г, ал. 6, във връзка с </w:t>
            </w:r>
            <w:r w:rsidR="00DB3377" w:rsidRPr="00226154">
              <w:rPr>
                <w:rFonts w:ascii="Verdana" w:hAnsi="Verdana"/>
                <w:sz w:val="20"/>
                <w:u w:val="none"/>
                <w:lang w:val="bg-BG"/>
              </w:rPr>
              <w:t>ал. 5</w:t>
            </w:r>
            <w:r w:rsidR="00DB3377" w:rsidRPr="00997D31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и </w:t>
            </w:r>
            <w:r w:rsidR="00DB3377" w:rsidRPr="00E11FD0">
              <w:rPr>
                <w:rFonts w:ascii="Verdana" w:hAnsi="Verdana"/>
                <w:sz w:val="20"/>
                <w:u w:val="none"/>
                <w:lang w:val="bg-BG"/>
              </w:rPr>
              <w:t>ал.4</w:t>
            </w:r>
            <w:r w:rsidR="00DB3377" w:rsidRPr="00997D31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 – </w:t>
            </w:r>
            <w:r w:rsidR="00DB3377" w:rsidRPr="00606815">
              <w:rPr>
                <w:rFonts w:ascii="Verdana" w:hAnsi="Verdana"/>
                <w:b w:val="0"/>
                <w:sz w:val="20"/>
                <w:u w:val="none"/>
                <w:lang w:val="bg-BG"/>
              </w:rPr>
              <w:t>участник  втори по време  потвърдил пос</w:t>
            </w:r>
            <w:r w:rsidR="00DB3377">
              <w:rPr>
                <w:rFonts w:ascii="Verdana" w:hAnsi="Verdana"/>
                <w:b w:val="0"/>
                <w:sz w:val="20"/>
                <w:u w:val="none"/>
                <w:lang w:val="bg-BG"/>
              </w:rPr>
              <w:t>ледната стъпка на наддаване</w:t>
            </w:r>
            <w:r w:rsidR="002E2127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09:31</w:t>
            </w:r>
            <w:r w:rsidR="00DB3377" w:rsidRPr="00606815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2E2127">
              <w:rPr>
                <w:rFonts w:ascii="Verdana" w:hAnsi="Verdana"/>
                <w:b w:val="0"/>
                <w:sz w:val="20"/>
                <w:u w:val="none"/>
                <w:lang w:val="bg-BG"/>
              </w:rPr>
              <w:t>07</w:t>
            </w:r>
            <w:r w:rsidR="00DB3377" w:rsidRPr="00606815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134" w:type="dxa"/>
            <w:vAlign w:val="center"/>
          </w:tcPr>
          <w:p w:rsidR="00BC1818" w:rsidRPr="00BC1818" w:rsidRDefault="002E2127" w:rsidP="000310A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18 162,00</w:t>
            </w:r>
          </w:p>
        </w:tc>
      </w:tr>
    </w:tbl>
    <w:p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2E4A44" w:rsidRDefault="00675AF6" w:rsidP="002E4A44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E4A44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E4A44" w:rsidRPr="00AB477A">
        <w:rPr>
          <w:rFonts w:ascii="Verdana" w:hAnsi="Verdana"/>
          <w:sz w:val="20"/>
          <w:u w:val="none"/>
          <w:lang w:val="bg-BG"/>
        </w:rPr>
        <w:t>, т. 1</w:t>
      </w:r>
      <w:r w:rsidR="002E4A44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2E4A44">
        <w:rPr>
          <w:rFonts w:ascii="Verdana" w:hAnsi="Verdana"/>
          <w:sz w:val="20"/>
          <w:u w:val="none"/>
          <w:lang w:val="ru-RU"/>
        </w:rPr>
        <w:t xml:space="preserve">, ал. 5 и </w:t>
      </w:r>
      <w:r w:rsidR="002E4A44" w:rsidRPr="00AB477A">
        <w:rPr>
          <w:rFonts w:ascii="Verdana" w:hAnsi="Verdana"/>
          <w:sz w:val="20"/>
          <w:u w:val="none"/>
          <w:lang w:val="bg-BG"/>
        </w:rPr>
        <w:t>ал. 4</w:t>
      </w:r>
      <w:r w:rsidR="002E4A4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E56133">
        <w:rPr>
          <w:rFonts w:ascii="Verdana" w:hAnsi="Verdana"/>
          <w:color w:val="FF0000"/>
          <w:sz w:val="20"/>
          <w:lang w:val="bg-BG"/>
        </w:rPr>
        <w:t>24502403-Е-1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E56133">
        <w:rPr>
          <w:rFonts w:ascii="Verdana" w:hAnsi="Verdana"/>
          <w:sz w:val="20"/>
          <w:lang w:val="bg-BG"/>
        </w:rPr>
        <w:t>299в,305в,45б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9F3274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>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0724C3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2E2127">
        <w:rPr>
          <w:rFonts w:ascii="Verdana" w:hAnsi="Verdana"/>
          <w:color w:val="FF0000"/>
          <w:sz w:val="20"/>
          <w:lang w:val="bg-BG"/>
        </w:rPr>
        <w:t>103,43</w:t>
      </w:r>
      <w:r w:rsidR="000724C3" w:rsidRPr="00DF36D3">
        <w:rPr>
          <w:rFonts w:ascii="Verdana" w:hAnsi="Verdana"/>
          <w:color w:val="FF0000"/>
          <w:sz w:val="20"/>
          <w:lang w:val="bg-BG"/>
        </w:rPr>
        <w:t xml:space="preserve"> </w:t>
      </w:r>
      <w:r w:rsidRPr="00DF36D3">
        <w:rPr>
          <w:rFonts w:ascii="Verdana" w:hAnsi="Verdana"/>
          <w:color w:val="FF0000"/>
          <w:sz w:val="20"/>
          <w:lang w:val="bg-BG"/>
        </w:rPr>
        <w:t>куб.м</w:t>
      </w:r>
      <w:r w:rsidRPr="00DF36D3">
        <w:rPr>
          <w:rFonts w:ascii="Verdana" w:hAnsi="Verdana"/>
          <w:sz w:val="20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F3274" w:rsidRPr="002E2127">
        <w:rPr>
          <w:rFonts w:ascii="Verdana" w:hAnsi="Verdana"/>
          <w:b w:val="0"/>
          <w:sz w:val="20"/>
          <w:u w:val="none"/>
          <w:lang w:val="ru-RU"/>
        </w:rPr>
        <w:t>фирма</w:t>
      </w:r>
      <w:r w:rsidR="009F3274" w:rsidRPr="002E2127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F3274" w:rsidRPr="002E2127">
        <w:rPr>
          <w:rFonts w:ascii="Verdana" w:hAnsi="Verdana"/>
          <w:sz w:val="20"/>
          <w:u w:val="none"/>
          <w:lang w:val="bg-BG"/>
        </w:rPr>
        <w:t>„</w:t>
      </w:r>
      <w:r w:rsidR="002E2127" w:rsidRPr="002E2127">
        <w:rPr>
          <w:rFonts w:ascii="Verdana" w:hAnsi="Verdana"/>
          <w:sz w:val="20"/>
          <w:u w:val="none"/>
          <w:lang w:val="bg-BG"/>
        </w:rPr>
        <w:t>САВАШ-78</w:t>
      </w:r>
      <w:r w:rsidR="002E4A44" w:rsidRPr="002E2127">
        <w:rPr>
          <w:rFonts w:ascii="Verdana" w:hAnsi="Verdana"/>
          <w:sz w:val="20"/>
          <w:u w:val="none"/>
          <w:lang w:val="bg-BG"/>
        </w:rPr>
        <w:t>“</w:t>
      </w:r>
      <w:r w:rsidR="002E2127" w:rsidRPr="002E2127">
        <w:rPr>
          <w:rFonts w:ascii="Verdana" w:hAnsi="Verdana"/>
          <w:sz w:val="20"/>
          <w:u w:val="none"/>
          <w:lang w:val="bg-BG"/>
        </w:rPr>
        <w:t xml:space="preserve"> ЕООД</w:t>
      </w:r>
      <w:r w:rsidR="009F3274" w:rsidRPr="002E2127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F3274" w:rsidRPr="002E2127">
        <w:rPr>
          <w:rFonts w:ascii="Verdana" w:hAnsi="Verdana"/>
          <w:b w:val="0"/>
          <w:sz w:val="20"/>
          <w:u w:val="none"/>
        </w:rPr>
        <w:t xml:space="preserve">с </w:t>
      </w:r>
      <w:r w:rsidR="009F3274" w:rsidRPr="002E2127">
        <w:rPr>
          <w:rFonts w:ascii="Verdana" w:hAnsi="Verdana"/>
          <w:sz w:val="20"/>
          <w:u w:val="none"/>
        </w:rPr>
        <w:t xml:space="preserve">ЕИК </w:t>
      </w:r>
      <w:r w:rsidR="002E2127" w:rsidRPr="002E2127">
        <w:rPr>
          <w:rFonts w:ascii="Verdana" w:hAnsi="Verdana"/>
          <w:sz w:val="20"/>
          <w:u w:val="none"/>
          <w:lang w:val="bg-BG"/>
        </w:rPr>
        <w:t>202809020</w:t>
      </w:r>
      <w:r w:rsidR="009F3274" w:rsidRPr="002E2127">
        <w:rPr>
          <w:rFonts w:ascii="Verdana" w:hAnsi="Verdana"/>
          <w:b w:val="0"/>
          <w:sz w:val="20"/>
          <w:u w:val="none"/>
          <w:lang w:val="bg-BG"/>
        </w:rPr>
        <w:t>, със седалище и адрес</w:t>
      </w:r>
      <w:r w:rsidR="002E4A44" w:rsidRPr="002E2127">
        <w:rPr>
          <w:rFonts w:ascii="Verdana" w:hAnsi="Verdana"/>
          <w:b w:val="0"/>
          <w:sz w:val="20"/>
          <w:u w:val="none"/>
          <w:lang w:val="bg-BG"/>
        </w:rPr>
        <w:t xml:space="preserve"> на управление: </w:t>
      </w:r>
      <w:r w:rsidR="002E2127" w:rsidRPr="002E2127">
        <w:rPr>
          <w:rFonts w:ascii="Verdana" w:hAnsi="Verdana"/>
          <w:b w:val="0"/>
          <w:sz w:val="20"/>
          <w:u w:val="none"/>
          <w:lang w:val="bg-BG"/>
        </w:rPr>
        <w:t>гр. Якоруда 2790, ул. Първа № 5, община Якоруда</w:t>
      </w:r>
      <w:r w:rsidR="00430F37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2E2127" w:rsidRPr="002E2127">
        <w:rPr>
          <w:rFonts w:ascii="Verdana" w:hAnsi="Verdana"/>
          <w:b w:val="0"/>
          <w:sz w:val="20"/>
          <w:u w:val="none"/>
          <w:lang w:val="bg-BG"/>
        </w:rPr>
        <w:t>с управител  Мехмед Хасан Шабан</w:t>
      </w:r>
      <w:r w:rsidR="009F3274">
        <w:rPr>
          <w:rFonts w:ascii="Verdana" w:hAnsi="Verdana"/>
          <w:sz w:val="20"/>
          <w:lang w:val="ru-RU"/>
        </w:rPr>
        <w:t xml:space="preserve"> </w:t>
      </w:r>
      <w:r w:rsidR="00E379F2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E4A44">
        <w:rPr>
          <w:rFonts w:ascii="Verdana" w:hAnsi="Verdana"/>
          <w:sz w:val="20"/>
          <w:u w:val="none"/>
          <w:lang w:val="bg-BG"/>
        </w:rPr>
        <w:t xml:space="preserve">участник, първи по време </w:t>
      </w:r>
      <w:r w:rsidR="002E4A44" w:rsidRPr="00490D53">
        <w:rPr>
          <w:rFonts w:ascii="Verdana" w:hAnsi="Verdana"/>
          <w:sz w:val="20"/>
          <w:u w:val="none"/>
          <w:lang w:val="bg-BG"/>
        </w:rPr>
        <w:t>потвърдил п</w:t>
      </w:r>
      <w:r w:rsidR="002E4A44">
        <w:rPr>
          <w:rFonts w:ascii="Verdana" w:hAnsi="Verdana"/>
          <w:sz w:val="20"/>
          <w:u w:val="none"/>
          <w:lang w:val="bg-BG"/>
        </w:rPr>
        <w:t xml:space="preserve">оследната </w:t>
      </w:r>
      <w:r w:rsidR="002E4A44" w:rsidRPr="00490D53">
        <w:rPr>
          <w:rFonts w:ascii="Verdana" w:hAnsi="Verdana"/>
          <w:sz w:val="20"/>
          <w:u w:val="none"/>
          <w:lang w:val="bg-BG"/>
        </w:rPr>
        <w:t>стъпка на</w:t>
      </w:r>
      <w:r w:rsidR="002E2127">
        <w:rPr>
          <w:rFonts w:ascii="Verdana" w:hAnsi="Verdana"/>
          <w:sz w:val="20"/>
          <w:u w:val="none"/>
          <w:lang w:val="bg-BG"/>
        </w:rPr>
        <w:t xml:space="preserve"> наддаване за обекта в 09:30:45</w:t>
      </w:r>
      <w:r w:rsidR="002E4A4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2E2127">
        <w:rPr>
          <w:rFonts w:ascii="Verdana" w:hAnsi="Verdana"/>
          <w:sz w:val="20"/>
          <w:u w:val="none"/>
        </w:rPr>
        <w:t>18 162,</w:t>
      </w:r>
      <w:r w:rsidR="002E2127">
        <w:rPr>
          <w:rFonts w:ascii="Verdana" w:hAnsi="Verdana"/>
          <w:sz w:val="20"/>
          <w:u w:val="none"/>
          <w:lang w:val="bg-BG"/>
        </w:rPr>
        <w:t>00</w:t>
      </w:r>
      <w:r w:rsidR="002E4A44" w:rsidRPr="00490D53">
        <w:rPr>
          <w:rFonts w:ascii="Verdana" w:hAnsi="Verdana"/>
          <w:sz w:val="20"/>
          <w:u w:val="none"/>
          <w:lang w:val="bg-BG"/>
        </w:rPr>
        <w:t xml:space="preserve"> /</w:t>
      </w:r>
      <w:r w:rsidR="00430F37">
        <w:rPr>
          <w:rFonts w:ascii="Verdana" w:hAnsi="Verdana"/>
          <w:sz w:val="20"/>
          <w:u w:val="none"/>
          <w:lang w:val="bg-BG"/>
        </w:rPr>
        <w:t>Осемнадесет хиляди сто шестдесет и два лева</w:t>
      </w:r>
      <w:r w:rsidR="002E4A44" w:rsidRPr="00490D53">
        <w:rPr>
          <w:rFonts w:ascii="Verdana" w:hAnsi="Verdana"/>
          <w:sz w:val="20"/>
          <w:u w:val="none"/>
          <w:lang w:val="bg-BG"/>
        </w:rPr>
        <w:t>/ лева</w:t>
      </w:r>
      <w:r w:rsidR="002E4A44">
        <w:rPr>
          <w:rFonts w:ascii="Verdana" w:hAnsi="Verdana"/>
          <w:sz w:val="20"/>
          <w:u w:val="none"/>
          <w:lang w:val="bg-BG"/>
        </w:rPr>
        <w:t xml:space="preserve"> без ДДС, която е най-високата цена за покупка на дървесината.</w:t>
      </w:r>
    </w:p>
    <w:p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:rsidR="00132B4D" w:rsidRPr="00326738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56133">
        <w:rPr>
          <w:rFonts w:ascii="Verdana" w:hAnsi="Verdana"/>
          <w:b/>
          <w:color w:val="FF0000"/>
          <w:sz w:val="20"/>
        </w:rPr>
        <w:t>24502403-Е-1</w:t>
      </w:r>
      <w:r w:rsidR="007C0684">
        <w:rPr>
          <w:rFonts w:ascii="Verdana" w:hAnsi="Verdana"/>
          <w:b/>
          <w:color w:val="FF0000"/>
          <w:sz w:val="20"/>
        </w:rPr>
        <w:t xml:space="preserve"> </w:t>
      </w:r>
      <w:r w:rsidRPr="007C0684">
        <w:rPr>
          <w:rFonts w:ascii="Verdana" w:hAnsi="Verdana"/>
          <w:sz w:val="20"/>
        </w:rPr>
        <w:t xml:space="preserve">с </w:t>
      </w:r>
      <w:r w:rsidRPr="00132B4D">
        <w:rPr>
          <w:rFonts w:ascii="Verdana" w:hAnsi="Verdana"/>
          <w:sz w:val="20"/>
        </w:rPr>
        <w:t>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Pr="00430F37">
        <w:rPr>
          <w:rFonts w:ascii="Verdana" w:hAnsi="Verdana"/>
          <w:b/>
          <w:sz w:val="20"/>
        </w:rPr>
        <w:t xml:space="preserve">фирма </w:t>
      </w:r>
      <w:r w:rsidR="00430F37" w:rsidRPr="00430F37">
        <w:rPr>
          <w:rFonts w:ascii="Verdana" w:hAnsi="Verdana"/>
          <w:b/>
          <w:sz w:val="20"/>
        </w:rPr>
        <w:t>„САВАШ-78“ ЕООД с ЕИК 202809020</w:t>
      </w:r>
      <w:r w:rsidR="007C322A" w:rsidRPr="00326738">
        <w:rPr>
          <w:rFonts w:ascii="Verdana" w:hAnsi="Verdana"/>
          <w:b/>
          <w:sz w:val="20"/>
        </w:rPr>
        <w:t>.</w:t>
      </w:r>
    </w:p>
    <w:p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430F37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430F37">
        <w:rPr>
          <w:rFonts w:ascii="Verdana" w:hAnsi="Verdana"/>
          <w:sz w:val="20"/>
        </w:rPr>
        <w:t xml:space="preserve"> от издаването</w:t>
      </w:r>
      <w:r w:rsidR="002E4A44">
        <w:rPr>
          <w:rFonts w:ascii="Verdana" w:hAnsi="Verdana"/>
          <w:sz w:val="20"/>
        </w:rPr>
        <w:t xml:space="preserve"> </w:t>
      </w:r>
      <w:r w:rsidR="002F4DFE">
        <w:rPr>
          <w:rFonts w:ascii="Verdana" w:hAnsi="Verdana"/>
          <w:sz w:val="20"/>
        </w:rPr>
        <w:t>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3F47CA">
        <w:rPr>
          <w:rFonts w:ascii="Verdana" w:hAnsi="Verdana"/>
          <w:sz w:val="20"/>
        </w:rPr>
        <w:t>фирма</w:t>
      </w:r>
      <w:r w:rsidR="00B77EF3">
        <w:rPr>
          <w:rFonts w:ascii="Verdana" w:hAnsi="Verdana"/>
          <w:sz w:val="20"/>
        </w:rPr>
        <w:t xml:space="preserve"> </w:t>
      </w:r>
      <w:r w:rsidR="00430F37" w:rsidRPr="00430F37">
        <w:rPr>
          <w:rFonts w:ascii="Verdana" w:hAnsi="Verdana"/>
          <w:b/>
          <w:sz w:val="20"/>
        </w:rPr>
        <w:t>фирма „САВАШ-78“ ЕООД с ЕИК 202809020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306120" w:rsidRDefault="003F47CA" w:rsidP="00D341A8">
      <w:pPr>
        <w:ind w:left="-720" w:right="-648" w:firstLine="7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  <w:szCs w:val="20"/>
          <w:lang w:val="bg-BG"/>
        </w:rPr>
        <w:t>5</w:t>
      </w:r>
      <w:r w:rsidR="00DB66CC" w:rsidRPr="00DB66CC">
        <w:rPr>
          <w:rFonts w:ascii="Verdana" w:hAnsi="Verdana"/>
          <w:sz w:val="20"/>
          <w:szCs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szCs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szCs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szCs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szCs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  <w:szCs w:val="20"/>
          <w:lang w:val="bg-BG"/>
        </w:rPr>
        <w:t>а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szCs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  <w:szCs w:val="20"/>
          <w:lang w:val="bg-BG"/>
        </w:rPr>
        <w:t>1</w:t>
      </w:r>
      <w:r w:rsidR="00306120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szCs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szCs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szCs w:val="20"/>
          <w:lang w:val="ru-RU"/>
        </w:rPr>
        <w:t>о</w:t>
      </w:r>
      <w:r w:rsidR="00DB66CC" w:rsidRPr="004901A9">
        <w:rPr>
          <w:rFonts w:ascii="Verdana" w:hAnsi="Verdana"/>
          <w:sz w:val="20"/>
          <w:szCs w:val="20"/>
          <w:lang w:val="ru-RU"/>
        </w:rPr>
        <w:t>т</w:t>
      </w:r>
      <w:r w:rsidR="00DB66CC" w:rsidRPr="00E62C3F">
        <w:rPr>
          <w:rFonts w:ascii="Verdana" w:hAnsi="Verdana"/>
          <w:sz w:val="20"/>
          <w:szCs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szCs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szCs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szCs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szCs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szCs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56133">
        <w:rPr>
          <w:rFonts w:ascii="Verdana" w:hAnsi="Verdana"/>
          <w:b/>
          <w:color w:val="FF0000"/>
          <w:sz w:val="20"/>
        </w:rPr>
        <w:t>24502403-Е-1</w:t>
      </w:r>
      <w:r w:rsidR="002E4A44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фирма </w:t>
      </w:r>
      <w:r w:rsidR="00430F37" w:rsidRPr="00430F37">
        <w:rPr>
          <w:rFonts w:ascii="Verdana" w:hAnsi="Verdana"/>
          <w:b/>
          <w:sz w:val="20"/>
        </w:rPr>
        <w:t xml:space="preserve">фирма </w:t>
      </w:r>
      <w:r w:rsidR="00430F37" w:rsidRPr="00430F37">
        <w:rPr>
          <w:rFonts w:ascii="Verdana" w:hAnsi="Verdana"/>
          <w:b/>
          <w:sz w:val="20"/>
          <w:lang w:val="bg-BG"/>
        </w:rPr>
        <w:t xml:space="preserve">„САВАШ-78“ ЕООД </w:t>
      </w:r>
      <w:r w:rsidR="00430F37" w:rsidRPr="00430F37">
        <w:rPr>
          <w:rFonts w:ascii="Verdana" w:hAnsi="Verdana"/>
          <w:b/>
          <w:sz w:val="20"/>
        </w:rPr>
        <w:t xml:space="preserve">с ЕИК </w:t>
      </w:r>
      <w:r w:rsidR="00430F37" w:rsidRPr="00430F37">
        <w:rPr>
          <w:rFonts w:ascii="Verdana" w:hAnsi="Verdana"/>
          <w:b/>
          <w:sz w:val="20"/>
          <w:lang w:val="bg-BG"/>
        </w:rPr>
        <w:t>202809020</w:t>
      </w:r>
      <w:r w:rsidR="00306120" w:rsidRPr="001F2997">
        <w:rPr>
          <w:rFonts w:ascii="Verdana" w:hAnsi="Verdana"/>
          <w:b/>
          <w:sz w:val="20"/>
        </w:rPr>
        <w:t>.</w:t>
      </w:r>
      <w:r w:rsidR="00306120">
        <w:rPr>
          <w:rFonts w:ascii="Verdana" w:hAnsi="Verdana"/>
          <w:b/>
          <w:sz w:val="20"/>
        </w:rPr>
        <w:t xml:space="preserve"> </w:t>
      </w:r>
    </w:p>
    <w:p w:rsidR="00D341A8" w:rsidRDefault="005B25AE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bg-BG"/>
        </w:rPr>
        <w:t>5</w:t>
      </w:r>
      <w:r w:rsidR="00DB66CC" w:rsidRPr="00310719">
        <w:rPr>
          <w:rFonts w:ascii="Verdana" w:hAnsi="Verdana"/>
          <w:b/>
          <w:sz w:val="20"/>
          <w:szCs w:val="20"/>
          <w:lang w:val="ru-RU"/>
        </w:rPr>
        <w:t>.</w:t>
      </w:r>
      <w:r w:rsidR="004F5CCF">
        <w:rPr>
          <w:rFonts w:ascii="Verdana" w:hAnsi="Verdana"/>
          <w:b/>
          <w:sz w:val="20"/>
          <w:szCs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szCs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szCs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szCs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szCs w:val="20"/>
          <w:lang w:val="ru-RU"/>
        </w:rPr>
        <w:t xml:space="preserve"> </w:t>
      </w:r>
      <w:r w:rsidR="00430F37" w:rsidRPr="00430F37">
        <w:rPr>
          <w:rFonts w:ascii="Verdana" w:hAnsi="Verdana"/>
          <w:b/>
          <w:sz w:val="20"/>
        </w:rPr>
        <w:t xml:space="preserve">фирма </w:t>
      </w:r>
      <w:r w:rsidR="00430F37" w:rsidRPr="00430F37">
        <w:rPr>
          <w:rFonts w:ascii="Verdana" w:hAnsi="Verdana"/>
          <w:b/>
          <w:sz w:val="20"/>
          <w:lang w:val="bg-BG"/>
        </w:rPr>
        <w:t xml:space="preserve">„САВАШ-78“ ЕООД </w:t>
      </w:r>
      <w:r w:rsidR="00430F37" w:rsidRPr="00430F37">
        <w:rPr>
          <w:rFonts w:ascii="Verdana" w:hAnsi="Verdana"/>
          <w:b/>
          <w:sz w:val="20"/>
        </w:rPr>
        <w:t xml:space="preserve">с ЕИК </w:t>
      </w:r>
      <w:r w:rsidR="00430F37" w:rsidRPr="00430F37">
        <w:rPr>
          <w:rFonts w:ascii="Verdana" w:hAnsi="Verdana"/>
          <w:b/>
          <w:sz w:val="20"/>
          <w:lang w:val="bg-BG"/>
        </w:rPr>
        <w:t>202809020</w:t>
      </w:r>
      <w:r w:rsidR="00DB66CC" w:rsidRPr="00EB59D7">
        <w:rPr>
          <w:rFonts w:ascii="Verdana" w:hAnsi="Verdana"/>
          <w:sz w:val="20"/>
          <w:szCs w:val="20"/>
          <w:lang w:val="ru-RU"/>
        </w:rPr>
        <w:t xml:space="preserve">, че в </w:t>
      </w:r>
      <w:r w:rsidR="00430F37">
        <w:rPr>
          <w:rFonts w:ascii="Verdana" w:hAnsi="Verdana"/>
          <w:b/>
          <w:sz w:val="20"/>
          <w:szCs w:val="20"/>
          <w:lang w:val="ru-RU"/>
        </w:rPr>
        <w:t>14</w:t>
      </w:r>
      <w:r w:rsidR="00D341A8">
        <w:rPr>
          <w:rFonts w:ascii="Verdana" w:hAnsi="Verdana"/>
          <w:b/>
          <w:sz w:val="20"/>
          <w:szCs w:val="20"/>
          <w:lang w:val="ru-RU"/>
        </w:rPr>
        <w:t xml:space="preserve">-дневен </w:t>
      </w:r>
      <w:r w:rsidR="00D341A8" w:rsidRPr="00DB66CC">
        <w:rPr>
          <w:rFonts w:ascii="Verdana" w:hAnsi="Verdana"/>
          <w:b/>
          <w:sz w:val="20"/>
          <w:szCs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szCs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szCs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szCs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szCs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szCs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56133">
        <w:rPr>
          <w:rFonts w:ascii="Verdana" w:hAnsi="Verdana"/>
          <w:b/>
          <w:color w:val="FF0000"/>
          <w:sz w:val="20"/>
        </w:rPr>
        <w:t>24502403-Е-1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  <w:szCs w:val="20"/>
          <w:lang w:val="bg-BG"/>
        </w:rPr>
        <w:t xml:space="preserve">На </w:t>
      </w:r>
      <w:r w:rsidR="000A6CF7" w:rsidRPr="003F47CA">
        <w:rPr>
          <w:rFonts w:ascii="Verdana" w:hAnsi="Verdana"/>
          <w:b/>
          <w:sz w:val="20"/>
          <w:szCs w:val="20"/>
          <w:lang w:val="bg-BG"/>
        </w:rPr>
        <w:t>основание т. 12.2</w:t>
      </w:r>
      <w:r w:rsidR="000A6CF7" w:rsidRPr="003F47CA">
        <w:rPr>
          <w:rFonts w:ascii="Verdana" w:hAnsi="Verdana"/>
          <w:sz w:val="20"/>
          <w:szCs w:val="20"/>
          <w:lang w:val="bg-BG"/>
        </w:rPr>
        <w:t xml:space="preserve"> </w:t>
      </w:r>
      <w:r w:rsidR="004F5CCF">
        <w:rPr>
          <w:rFonts w:ascii="Verdana" w:hAnsi="Verdana"/>
          <w:sz w:val="20"/>
          <w:szCs w:val="20"/>
          <w:lang w:val="bg-BG"/>
        </w:rPr>
        <w:t xml:space="preserve">изречение второ </w:t>
      </w:r>
      <w:r w:rsidR="000A6CF7" w:rsidRPr="003F47CA">
        <w:rPr>
          <w:rFonts w:ascii="Verdana" w:hAnsi="Verdana"/>
          <w:sz w:val="20"/>
          <w:szCs w:val="20"/>
          <w:lang w:val="bg-BG"/>
        </w:rPr>
        <w:t xml:space="preserve">от заповедта за откриване на процедурата в </w:t>
      </w:r>
      <w:r w:rsidR="00430F37">
        <w:rPr>
          <w:rFonts w:ascii="Verdana" w:hAnsi="Verdana"/>
          <w:b/>
          <w:sz w:val="20"/>
          <w:szCs w:val="20"/>
          <w:lang w:val="bg-BG"/>
        </w:rPr>
        <w:t>5</w:t>
      </w:r>
      <w:r w:rsidR="003F47CA">
        <w:rPr>
          <w:rFonts w:ascii="Verdana" w:hAnsi="Verdana"/>
          <w:b/>
          <w:sz w:val="20"/>
          <w:szCs w:val="20"/>
          <w:lang w:val="bg-BG"/>
        </w:rPr>
        <w:t xml:space="preserve">- </w:t>
      </w:r>
      <w:r w:rsidR="000A6CF7" w:rsidRPr="003F47CA">
        <w:rPr>
          <w:rFonts w:ascii="Verdana" w:hAnsi="Verdana"/>
          <w:b/>
          <w:sz w:val="20"/>
          <w:szCs w:val="20"/>
          <w:lang w:val="bg-BG"/>
        </w:rPr>
        <w:t>дневен срок</w:t>
      </w:r>
      <w:r w:rsidR="000A6CF7" w:rsidRPr="003F47CA">
        <w:rPr>
          <w:rFonts w:ascii="Verdana" w:hAnsi="Verdana"/>
          <w:sz w:val="20"/>
          <w:szCs w:val="20"/>
          <w:lang w:val="bg-BG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  <w:szCs w:val="20"/>
          <w:lang w:val="bg-BG"/>
        </w:rPr>
        <w:t xml:space="preserve">следва да </w:t>
      </w:r>
      <w:r w:rsidR="00DB66CC" w:rsidRPr="003F47CA">
        <w:rPr>
          <w:rFonts w:ascii="Verdana" w:hAnsi="Verdana"/>
          <w:b/>
          <w:sz w:val="20"/>
          <w:szCs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szCs w:val="20"/>
          <w:lang w:val="ru-RU"/>
        </w:rPr>
        <w:t xml:space="preserve"> </w:t>
      </w:r>
      <w:r w:rsidR="007C0684">
        <w:rPr>
          <w:rFonts w:ascii="Verdana" w:hAnsi="Verdana"/>
          <w:sz w:val="20"/>
          <w:szCs w:val="20"/>
          <w:lang w:val="ru-RU"/>
        </w:rPr>
        <w:t>в ТП «</w:t>
      </w:r>
      <w:r w:rsidR="003F47CA" w:rsidRPr="003F47CA">
        <w:rPr>
          <w:rFonts w:ascii="Verdana" w:hAnsi="Verdana"/>
          <w:sz w:val="20"/>
          <w:szCs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szCs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szCs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szCs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B66CC" w:rsidRPr="003F47CA">
        <w:rPr>
          <w:rFonts w:ascii="Verdana" w:hAnsi="Verdana"/>
          <w:b/>
          <w:sz w:val="20"/>
          <w:szCs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  <w:szCs w:val="20"/>
          <w:lang w:val="bg-BG"/>
        </w:rPr>
        <w:t>,</w:t>
      </w:r>
      <w:r w:rsidR="00DB66CC" w:rsidRPr="003F47CA">
        <w:rPr>
          <w:rFonts w:ascii="Verdana" w:hAnsi="Verdana"/>
          <w:b/>
          <w:sz w:val="20"/>
          <w:szCs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B66CC" w:rsidRPr="003F47CA">
        <w:rPr>
          <w:rFonts w:ascii="Verdana" w:hAnsi="Verdana"/>
          <w:b/>
          <w:sz w:val="20"/>
          <w:szCs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szCs w:val="20"/>
          <w:lang w:val="ru-RU"/>
        </w:rPr>
        <w:t>.</w:t>
      </w:r>
    </w:p>
    <w:p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lastRenderedPageBreak/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процедура, с</w:t>
      </w:r>
      <w:r w:rsidR="0031462D">
        <w:rPr>
          <w:rFonts w:ascii="Verdana" w:hAnsi="Verdana"/>
          <w:sz w:val="20"/>
        </w:rPr>
        <w:t xml:space="preserve"> заверено</w:t>
      </w:r>
      <w:r w:rsidR="00DB66CC" w:rsidRPr="00DB66CC">
        <w:rPr>
          <w:rFonts w:ascii="Verdana" w:hAnsi="Verdana"/>
          <w:sz w:val="20"/>
        </w:rPr>
        <w:t xml:space="preserve"> копие за заинтересованите лица.</w:t>
      </w: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BA3528" w:rsidRPr="00DB66CC" w:rsidRDefault="00430F37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sz w:val="20"/>
          <w:lang w:eastAsia="bg-BG"/>
        </w:rPr>
        <w:pict>
          <v:shape id="_x0000_i1026" type="#_x0000_t75" alt="Ред за подпис на Microsoft Office..." style="width:192pt;height:51.75pt">
            <v:imagedata r:id="rId9" o:title=""/>
            <o:lock v:ext="edit" ungrouping="t" rotation="t" cropping="t" verticies="t" text="t" grouping="t"/>
            <o:signatureline v:ext="edit" id="{CB3EE56E-A41E-45D0-BD19-1DEE582774B2}" provid="{00000000-0000-0000-0000-000000000000}" o:suggestedsigner="ИНЖ. ТОДОР ГЮРОВ" o:suggestedsigner2="ДИРЕКТОР НА ТП&quot;ДГС ГОЦЕ ДЕЛЧЕВ&quot;" issignatureline="t"/>
          </v:shape>
        </w:pict>
      </w:r>
    </w:p>
    <w:p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sectPr w:rsidR="00DB66CC" w:rsidRPr="00DB66CC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C4" w:rsidRDefault="00534AC4" w:rsidP="006C61C8">
      <w:r>
        <w:separator/>
      </w:r>
    </w:p>
  </w:endnote>
  <w:endnote w:type="continuationSeparator" w:id="0">
    <w:p w:rsidR="00534AC4" w:rsidRDefault="00534AC4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E54700">
      <w:rPr>
        <w:rFonts w:eastAsia="Calibri"/>
        <w:b/>
        <w:bCs/>
        <w:noProof/>
        <w:sz w:val="16"/>
        <w:szCs w:val="16"/>
      </w:rPr>
      <w:t>2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E54700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C4" w:rsidRDefault="00534AC4" w:rsidP="006C61C8">
      <w:r>
        <w:separator/>
      </w:r>
    </w:p>
  </w:footnote>
  <w:footnote w:type="continuationSeparator" w:id="0">
    <w:p w:rsidR="00534AC4" w:rsidRDefault="00534AC4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E56133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E56133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7628405D" wp14:editId="013A24E7">
                <wp:extent cx="1662138" cy="838200"/>
                <wp:effectExtent l="0" t="0" r="0" b="0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517" cy="942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31C6F"/>
    <w:rsid w:val="000502D3"/>
    <w:rsid w:val="00051376"/>
    <w:rsid w:val="0005539B"/>
    <w:rsid w:val="00060C8C"/>
    <w:rsid w:val="00066462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D1A27"/>
    <w:rsid w:val="000D2E41"/>
    <w:rsid w:val="000F1B79"/>
    <w:rsid w:val="000F4B25"/>
    <w:rsid w:val="00130255"/>
    <w:rsid w:val="00132B4D"/>
    <w:rsid w:val="00137CDE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6205"/>
    <w:rsid w:val="001B6210"/>
    <w:rsid w:val="001D2517"/>
    <w:rsid w:val="001D3D9E"/>
    <w:rsid w:val="001E1FCF"/>
    <w:rsid w:val="001E5B26"/>
    <w:rsid w:val="001F2997"/>
    <w:rsid w:val="001F5D74"/>
    <w:rsid w:val="0021510A"/>
    <w:rsid w:val="00226154"/>
    <w:rsid w:val="0023095C"/>
    <w:rsid w:val="0024334F"/>
    <w:rsid w:val="00243AB9"/>
    <w:rsid w:val="00243D90"/>
    <w:rsid w:val="002460F1"/>
    <w:rsid w:val="00255456"/>
    <w:rsid w:val="0025742F"/>
    <w:rsid w:val="002637DD"/>
    <w:rsid w:val="00263846"/>
    <w:rsid w:val="00264FBF"/>
    <w:rsid w:val="002826E1"/>
    <w:rsid w:val="00294A52"/>
    <w:rsid w:val="0029621E"/>
    <w:rsid w:val="002A0588"/>
    <w:rsid w:val="002A3987"/>
    <w:rsid w:val="002A6B46"/>
    <w:rsid w:val="002B5F53"/>
    <w:rsid w:val="002C2563"/>
    <w:rsid w:val="002C587F"/>
    <w:rsid w:val="002D5539"/>
    <w:rsid w:val="002D6785"/>
    <w:rsid w:val="002E2127"/>
    <w:rsid w:val="002E4A44"/>
    <w:rsid w:val="002F156E"/>
    <w:rsid w:val="002F15E3"/>
    <w:rsid w:val="002F4DFE"/>
    <w:rsid w:val="002F7445"/>
    <w:rsid w:val="00300542"/>
    <w:rsid w:val="00306120"/>
    <w:rsid w:val="003071FB"/>
    <w:rsid w:val="003100FF"/>
    <w:rsid w:val="00310719"/>
    <w:rsid w:val="00310C01"/>
    <w:rsid w:val="00310F8E"/>
    <w:rsid w:val="0031462D"/>
    <w:rsid w:val="003205C1"/>
    <w:rsid w:val="00326738"/>
    <w:rsid w:val="003307A2"/>
    <w:rsid w:val="003444B7"/>
    <w:rsid w:val="00346D3B"/>
    <w:rsid w:val="00350480"/>
    <w:rsid w:val="00367D06"/>
    <w:rsid w:val="003839E0"/>
    <w:rsid w:val="003841C2"/>
    <w:rsid w:val="00385939"/>
    <w:rsid w:val="0039448F"/>
    <w:rsid w:val="003A53C8"/>
    <w:rsid w:val="003D406D"/>
    <w:rsid w:val="003F2B62"/>
    <w:rsid w:val="003F47CA"/>
    <w:rsid w:val="004012EC"/>
    <w:rsid w:val="004118F0"/>
    <w:rsid w:val="00411BE0"/>
    <w:rsid w:val="004142F7"/>
    <w:rsid w:val="0041585C"/>
    <w:rsid w:val="004248E0"/>
    <w:rsid w:val="00430F37"/>
    <w:rsid w:val="00436C2C"/>
    <w:rsid w:val="0043779E"/>
    <w:rsid w:val="00452E47"/>
    <w:rsid w:val="00457B87"/>
    <w:rsid w:val="004661D1"/>
    <w:rsid w:val="00474FAC"/>
    <w:rsid w:val="004768F7"/>
    <w:rsid w:val="004901A9"/>
    <w:rsid w:val="00490D53"/>
    <w:rsid w:val="004A1207"/>
    <w:rsid w:val="004A50AC"/>
    <w:rsid w:val="004A6755"/>
    <w:rsid w:val="004B4239"/>
    <w:rsid w:val="004C08CB"/>
    <w:rsid w:val="004C2A84"/>
    <w:rsid w:val="004D3064"/>
    <w:rsid w:val="004D5E0B"/>
    <w:rsid w:val="004E3BA0"/>
    <w:rsid w:val="004E7F06"/>
    <w:rsid w:val="004F5CCF"/>
    <w:rsid w:val="00504F1D"/>
    <w:rsid w:val="00510CE5"/>
    <w:rsid w:val="00526BEB"/>
    <w:rsid w:val="00534AC4"/>
    <w:rsid w:val="005428AC"/>
    <w:rsid w:val="005501E5"/>
    <w:rsid w:val="00552525"/>
    <w:rsid w:val="00567B66"/>
    <w:rsid w:val="00573A71"/>
    <w:rsid w:val="005757BE"/>
    <w:rsid w:val="00582694"/>
    <w:rsid w:val="00596350"/>
    <w:rsid w:val="005B25AE"/>
    <w:rsid w:val="005B6EA8"/>
    <w:rsid w:val="005C218A"/>
    <w:rsid w:val="005D2404"/>
    <w:rsid w:val="005D61D3"/>
    <w:rsid w:val="00600305"/>
    <w:rsid w:val="00603A36"/>
    <w:rsid w:val="00606815"/>
    <w:rsid w:val="00610333"/>
    <w:rsid w:val="00610713"/>
    <w:rsid w:val="00614B0B"/>
    <w:rsid w:val="006169C0"/>
    <w:rsid w:val="0063120E"/>
    <w:rsid w:val="0063343B"/>
    <w:rsid w:val="0064372E"/>
    <w:rsid w:val="00670727"/>
    <w:rsid w:val="00675A5A"/>
    <w:rsid w:val="00675AF6"/>
    <w:rsid w:val="006809DA"/>
    <w:rsid w:val="0068463F"/>
    <w:rsid w:val="00695614"/>
    <w:rsid w:val="00696DB1"/>
    <w:rsid w:val="00697D94"/>
    <w:rsid w:val="006B3CBE"/>
    <w:rsid w:val="006C00C9"/>
    <w:rsid w:val="006C61C8"/>
    <w:rsid w:val="006C6BD0"/>
    <w:rsid w:val="006D00F0"/>
    <w:rsid w:val="006E370A"/>
    <w:rsid w:val="006F1B91"/>
    <w:rsid w:val="0070318C"/>
    <w:rsid w:val="0070435A"/>
    <w:rsid w:val="00705D36"/>
    <w:rsid w:val="00706DC7"/>
    <w:rsid w:val="00713F5D"/>
    <w:rsid w:val="007470DC"/>
    <w:rsid w:val="00787C6D"/>
    <w:rsid w:val="007A4F14"/>
    <w:rsid w:val="007C0684"/>
    <w:rsid w:val="007C2C84"/>
    <w:rsid w:val="007C322A"/>
    <w:rsid w:val="007D44C7"/>
    <w:rsid w:val="007D4B1C"/>
    <w:rsid w:val="007D74FC"/>
    <w:rsid w:val="007E339A"/>
    <w:rsid w:val="007E6B00"/>
    <w:rsid w:val="007F0098"/>
    <w:rsid w:val="00805358"/>
    <w:rsid w:val="00822E6D"/>
    <w:rsid w:val="00870F5C"/>
    <w:rsid w:val="0087396B"/>
    <w:rsid w:val="008739E7"/>
    <w:rsid w:val="00876A60"/>
    <w:rsid w:val="008A07CC"/>
    <w:rsid w:val="008A50A7"/>
    <w:rsid w:val="008B35D9"/>
    <w:rsid w:val="008B3B14"/>
    <w:rsid w:val="008B74F6"/>
    <w:rsid w:val="008C4920"/>
    <w:rsid w:val="008D6725"/>
    <w:rsid w:val="008E00AF"/>
    <w:rsid w:val="008E31F3"/>
    <w:rsid w:val="008F554D"/>
    <w:rsid w:val="008F6B94"/>
    <w:rsid w:val="00904773"/>
    <w:rsid w:val="009047BF"/>
    <w:rsid w:val="009058C4"/>
    <w:rsid w:val="00923CC7"/>
    <w:rsid w:val="00933B57"/>
    <w:rsid w:val="00937468"/>
    <w:rsid w:val="009440C2"/>
    <w:rsid w:val="00946276"/>
    <w:rsid w:val="00957ECE"/>
    <w:rsid w:val="00961F32"/>
    <w:rsid w:val="009718DF"/>
    <w:rsid w:val="0098231A"/>
    <w:rsid w:val="00984822"/>
    <w:rsid w:val="009853A4"/>
    <w:rsid w:val="00987567"/>
    <w:rsid w:val="00997D31"/>
    <w:rsid w:val="009B261D"/>
    <w:rsid w:val="009B5587"/>
    <w:rsid w:val="009D1A3D"/>
    <w:rsid w:val="009E32EF"/>
    <w:rsid w:val="009E695A"/>
    <w:rsid w:val="009F3274"/>
    <w:rsid w:val="009F7ECB"/>
    <w:rsid w:val="00A21694"/>
    <w:rsid w:val="00A26C3F"/>
    <w:rsid w:val="00A3722D"/>
    <w:rsid w:val="00A55155"/>
    <w:rsid w:val="00A576D9"/>
    <w:rsid w:val="00A726DE"/>
    <w:rsid w:val="00A7411D"/>
    <w:rsid w:val="00A74A9B"/>
    <w:rsid w:val="00A750D1"/>
    <w:rsid w:val="00A92AEE"/>
    <w:rsid w:val="00AA0D07"/>
    <w:rsid w:val="00AA426B"/>
    <w:rsid w:val="00AB3D1A"/>
    <w:rsid w:val="00AB477A"/>
    <w:rsid w:val="00AB750B"/>
    <w:rsid w:val="00AC3B96"/>
    <w:rsid w:val="00AC3CEA"/>
    <w:rsid w:val="00AD4C3C"/>
    <w:rsid w:val="00AE2772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52205"/>
    <w:rsid w:val="00B53AB2"/>
    <w:rsid w:val="00B545E4"/>
    <w:rsid w:val="00B552B3"/>
    <w:rsid w:val="00B739FB"/>
    <w:rsid w:val="00B73F7E"/>
    <w:rsid w:val="00B77EF3"/>
    <w:rsid w:val="00B9499A"/>
    <w:rsid w:val="00BA141C"/>
    <w:rsid w:val="00BA3528"/>
    <w:rsid w:val="00BB0267"/>
    <w:rsid w:val="00BC1818"/>
    <w:rsid w:val="00BC244B"/>
    <w:rsid w:val="00BC4CB7"/>
    <w:rsid w:val="00BC622F"/>
    <w:rsid w:val="00BC72EC"/>
    <w:rsid w:val="00BD1552"/>
    <w:rsid w:val="00BD4958"/>
    <w:rsid w:val="00BE0E52"/>
    <w:rsid w:val="00BF6218"/>
    <w:rsid w:val="00C01C00"/>
    <w:rsid w:val="00C05A4F"/>
    <w:rsid w:val="00C075DD"/>
    <w:rsid w:val="00C16EE2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C107D"/>
    <w:rsid w:val="00CD6E20"/>
    <w:rsid w:val="00CE064A"/>
    <w:rsid w:val="00D0318D"/>
    <w:rsid w:val="00D046BF"/>
    <w:rsid w:val="00D24D55"/>
    <w:rsid w:val="00D341A8"/>
    <w:rsid w:val="00D342E7"/>
    <w:rsid w:val="00D355C9"/>
    <w:rsid w:val="00D42B78"/>
    <w:rsid w:val="00D45A58"/>
    <w:rsid w:val="00D50784"/>
    <w:rsid w:val="00D529C9"/>
    <w:rsid w:val="00D62648"/>
    <w:rsid w:val="00D641AA"/>
    <w:rsid w:val="00D667C6"/>
    <w:rsid w:val="00D734F2"/>
    <w:rsid w:val="00D73512"/>
    <w:rsid w:val="00D93E3E"/>
    <w:rsid w:val="00D956D9"/>
    <w:rsid w:val="00D96837"/>
    <w:rsid w:val="00D970B5"/>
    <w:rsid w:val="00DA594A"/>
    <w:rsid w:val="00DA5D0A"/>
    <w:rsid w:val="00DB0F5C"/>
    <w:rsid w:val="00DB3377"/>
    <w:rsid w:val="00DB66CC"/>
    <w:rsid w:val="00DD75D5"/>
    <w:rsid w:val="00DE7011"/>
    <w:rsid w:val="00DF0305"/>
    <w:rsid w:val="00DF36D3"/>
    <w:rsid w:val="00DF681D"/>
    <w:rsid w:val="00E01A17"/>
    <w:rsid w:val="00E0553E"/>
    <w:rsid w:val="00E069E1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700"/>
    <w:rsid w:val="00E54B2B"/>
    <w:rsid w:val="00E56133"/>
    <w:rsid w:val="00E60E1F"/>
    <w:rsid w:val="00E62838"/>
    <w:rsid w:val="00E62C3F"/>
    <w:rsid w:val="00E72479"/>
    <w:rsid w:val="00E74ABC"/>
    <w:rsid w:val="00E76343"/>
    <w:rsid w:val="00E835A8"/>
    <w:rsid w:val="00EA0D26"/>
    <w:rsid w:val="00EA1F87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2271E"/>
    <w:rsid w:val="00F334EA"/>
    <w:rsid w:val="00F3558C"/>
    <w:rsid w:val="00F44FE6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5559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tEC6+MKa93mf+TYATM4ycZj0r9y0MTZRYiUHRoHI1pE=</DigestValue>
    </Reference>
    <Reference Type="http://www.w3.org/2000/09/xmldsig#Object" URI="#idOfficeObject">
      <DigestMethod Algorithm="http://www.w3.org/2001/04/xmlenc#sha256"/>
      <DigestValue>BUb56bR97BuTBTm9q7VPTGCg4nKAQ+WaUQdDeHPSsjA=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YQWU6Kcqua2Kdk/zNQHW8WY7wJIhbnlMYBlk1WlNHsQ=</DigestValue>
    </Reference>
    <Reference Type="http://www.w3.org/2000/09/xmldsig#Object" URI="#idValidSigLnImg">
      <DigestMethod Algorithm="http://www.w3.org/2001/04/xmlenc#sha256"/>
      <DigestValue>Ta1bQ1OOVFw6SPnxkoeqjMFtkdB9TMLRaJswgzSaEOY=</DigestValue>
    </Reference>
    <Reference Type="http://www.w3.org/2000/09/xmldsig#Object" URI="#idInvalidSigLnImg">
      <DigestMethod Algorithm="http://www.w3.org/2001/04/xmlenc#sha256"/>
      <DigestValue>aXC8fYIDM9pcWwXzI84h5BQ76fNhLglS9nQ0kAzg77I=</DigestValue>
    </Reference>
  </SignedInfo>
  <SignatureValue>y7ATveZeGTq8QYVv+OAupHiRp1NzJCn1+pmoj/ny722DzZXtbXHU51LTghNeWG5HgOsTpzTobwpA
lBAIbJOnKLykoPDASu9cELaNVuu/vRXPQtmHipft7F9aRh1kY94XWELWR0Pw344/zUxyGJGSoTlx
rJr8erKm6ELLssYl0OhTeXWueYYBtbfGEJ7bmnAxU5zEe6/N4wxBcLcTaGPU+NtYE/z0tsn0Drb1
O9JqQ8TEBAJ4SMEl8NWDIiCUbqWTB/aL9nLUFNDvDPnUoWMVQ4u8BleoRgk1vf57FKjI2EmvaLA5
fTvepqn9JhKkwG/1gLMZ8UGCSZA55S2XPNGd1w==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AoJVBzSQAL++7buVpXbGnC4Q4slAyJBVLEsk6CNq1ik=</DigestValue>
      </Reference>
      <Reference URI="/word/endnotes.xml?ContentType=application/vnd.openxmlformats-officedocument.wordprocessingml.endnotes+xml">
        <DigestMethod Algorithm="http://www.w3.org/2001/04/xmlenc#sha256"/>
        <DigestValue>WcNrDAqjoZEzrSUjj67+S5+hAyxaJTpvjQiKWl1rEvw=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tVEmFAl2c9xdlXPbGzJc28OaGxp6IZW3QC4ZCbMvK6o=</DigestValue>
      </Reference>
      <Reference URI="/word/footnotes.xml?ContentType=application/vnd.openxmlformats-officedocument.wordprocessingml.footnotes+xml">
        <DigestMethod Algorithm="http://www.w3.org/2001/04/xmlenc#sha256"/>
        <DigestValue>Vq/l3Lsclon1pJaENJlmW9vcrHluhiweoR/+fO52+vk=</DigestValue>
      </Reference>
      <Reference URI="/word/header1.xml?ContentType=application/vnd.openxmlformats-officedocument.wordprocessingml.header+xml">
        <DigestMethod Algorithm="http://www.w3.org/2001/04/xmlenc#sha256"/>
        <DigestValue>ehjbmpAfd33hmX2Nsu27HdNXOIKbtYzEPCUE+R7wO9U=</DigestValue>
      </Reference>
      <Reference URI="/word/media/image1.emf?ContentType=image/x-emf">
        <DigestMethod Algorithm="http://www.w3.org/2001/04/xmlenc#sha256"/>
        <DigestValue>enoZDHdGKxweyVYdrud0oostNjVpDV+6QsIZ5wT+pRc=</DigestValue>
      </Reference>
      <Reference URI="/word/media/image2.emf?ContentType=image/x-emf">
        <DigestMethod Algorithm="http://www.w3.org/2001/04/xmlenc#sha256"/>
        <DigestValue>3iDqwbEgDQG/IpbD9MtZlTyVLq4oC8qDsPhvF5Fvv5M=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UTgHw9Uao9aFsgV6V92YsrqWVck/vrSqcCDaA4x8vEs=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2024-11-29T11:27:10Z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{CB3EE56E-A41E-45D0-BD19-1DEE582774B2}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2024-11-29T11:27:10Z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5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Q4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gBAAAMAAAAdgAAAO8AAACGAAAAAQAAAADAj0FVVY9BDAAAAHYAAAAfAAAATAAAAAAAAAAAAAAAAAAAAP//////////jAAAABQEGAQgBBUEGgQiBB4EIAQgAB0EEAQgACIEHwQiABQEEwQhBCAAEwQeBCYEFQQgABQEFQQbBCcEFQQSBCIAYQ4JAAAACgAAAAcAAAAHAAAACAAAAAcAAAAKAAAABwAAAAQAAAAJAAAACAAAAAQAAAAHAAAACQAAAAUAAAAJAAAABgAAAAgAAAAEAAAABgAAAAoAAAAKAAAABwAAAAQAAAAJAAAABwAAAAkAAAAJAAAABwAAAAcAAAAF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9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IAQAADAAAAHYAAADvAAAAhgAAAAEAAAAAwI9BVVWPQQwAAAB2AAAAHwAAAEwAAAAAAAAAAAAAAAAAAAD//////////4wAAAAUBBgEIAQVBBoEIgQeBCAEIAAdBBAEIAAiBB8EIgAUBBMEIQQgABMEHgQmBBUEIAAUBBUEGwQnBBUEEgQiAAAACQAAAAoAAAAHAAAABwAAAAgAAAAHAAAACgAAAAcAAAAEAAAACQAAAAgAAAAEAAAABwAAAAk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gDg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Kpg6Pb4ePaouw43j0qaPBUQNd/3HlpyoYiS63jj5ODs=</DigestValue>
    </Reference>
    <Reference Type="http://www.w3.org/2000/09/xmldsig#Object" URI="#idOfficeObject">
      <DigestMethod Algorithm="http://www.w3.org/2001/04/xmlenc#sha256"/>
      <DigestValue>hXQlHwwb7atL6cfRQty3GTEzej2X1BHZ18hMnGj2Pck=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dFP+vgrdlfONMzGoO5gg56x0QimdrpmBLCw8eHc17Pg=</DigestValue>
    </Reference>
    <Reference Type="http://www.w3.org/2000/09/xmldsig#Object" URI="#idValidSigLnImg">
      <DigestMethod Algorithm="http://www.w3.org/2001/04/xmlenc#sha256"/>
      <DigestValue>JZq7BsAgZlbEUIO4Jp/KPPRhiEMSwpvS9nFPhGVkRhw=</DigestValue>
    </Reference>
    <Reference Type="http://www.w3.org/2000/09/xmldsig#Object" URI="#idInvalidSigLnImg">
      <DigestMethod Algorithm="http://www.w3.org/2001/04/xmlenc#sha256"/>
      <DigestValue>9ZdKz7unaXHm6OLqHEL0cj5XfJPNZZHkBaNFe5RhdJY=</DigestValue>
    </Reference>
  </SignedInfo>
  <SignatureValue>cOqyH1Vz8H8SiQJojfhNz9muhJjVn0Go4VVPSKRuw6lI2b3zpUNZGsWGHTV9zNh/29cvIyqBIT67
8dZgHbLqO820tCRhjcDqpzvQzBM5m2TaiBTCIVlRU/ObrgJR/qhofBmmb2vClzXd6KPWGuFb9d0K
9ENxTh1H9088TTR9a8lO5YJ7CGgvm/6xAgDKdvQhhDadWuZkcjAmkBGGRPgs4q1iHZAynmdwuYfl
7UFDTtt11ivHfwN6rgyh5/pYN20V170bLZYmPqRHUXSSIX8Vo20BaBYLDOZSKHYRqTSxRjo5PhGk
p2cNh+GuhHIMBfIidJHKpYv4XCLkKPY3/rteKA==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AoJVBzSQAL++7buVpXbGnC4Q4slAyJBVLEsk6CNq1ik=</DigestValue>
      </Reference>
      <Reference URI="/word/endnotes.xml?ContentType=application/vnd.openxmlformats-officedocument.wordprocessingml.endnotes+xml">
        <DigestMethod Algorithm="http://www.w3.org/2001/04/xmlenc#sha256"/>
        <DigestValue>WcNrDAqjoZEzrSUjj67+S5+hAyxaJTpvjQiKWl1rEvw=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tVEmFAl2c9xdlXPbGzJc28OaGxp6IZW3QC4ZCbMvK6o=</DigestValue>
      </Reference>
      <Reference URI="/word/footnotes.xml?ContentType=application/vnd.openxmlformats-officedocument.wordprocessingml.footnotes+xml">
        <DigestMethod Algorithm="http://www.w3.org/2001/04/xmlenc#sha256"/>
        <DigestValue>Vq/l3Lsclon1pJaENJlmW9vcrHluhiweoR/+fO52+vk=</DigestValue>
      </Reference>
      <Reference URI="/word/header1.xml?ContentType=application/vnd.openxmlformats-officedocument.wordprocessingml.header+xml">
        <DigestMethod Algorithm="http://www.w3.org/2001/04/xmlenc#sha256"/>
        <DigestValue>ehjbmpAfd33hmX2Nsu27HdNXOIKbtYzEPCUE+R7wO9U=</DigestValue>
      </Reference>
      <Reference URI="/word/media/image1.emf?ContentType=image/x-emf">
        <DigestMethod Algorithm="http://www.w3.org/2001/04/xmlenc#sha256"/>
        <DigestValue>enoZDHdGKxweyVYdrud0oostNjVpDV+6QsIZ5wT+pRc=</DigestValue>
      </Reference>
      <Reference URI="/word/media/image2.emf?ContentType=image/x-emf">
        <DigestMethod Algorithm="http://www.w3.org/2001/04/xmlenc#sha256"/>
        <DigestValue>3iDqwbEgDQG/IpbD9MtZlTyVLq4oC8qDsPhvF5Fvv5M=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UTgHw9Uao9aFsgV6V92YsrqWVck/vrSqcCDaA4x8vEs=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2024-11-29T11:28:05Z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{0D7A2948-33F0-4638-BBEC-881E8976E3FF}</SetupID>
          <SignatureText>РД-07-733/29.11.2024г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2024-11-29T11:28:05Z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gA5AC4AMQAxAC4AMgAwADIANAAgADMELgAQ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MwAzAC8AMgA5AC4AMQAxAC4AMgAwADIANAAzBGk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IAAACGAAAAAQAAAABAtUF7CbFBDwAAAHIAAAAHAAAATAAAAAAAAAAAAAAAAAAAAP//////////XAAAACAENQQzBC4AIAAWISAAZwAJAAAACAAAAAYAAAADAAAABAAAABIAAAAE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  <Object Id="idInvalidSigLnImg">AQAAAGwAAAAAAAAAAAAAAH8BAAC/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MAMwAvADIAOQAuADEAMQAuADIAMAAyADQAMwQy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CAAAAhgAAAAEAAAAAQLVBewmxQQ8AAAByAAAABwAAAEwAAAAAAAAAAAAAAAAAAAD//////////1wAAAAgBDUEMwQuACAAFiEgADwACQAAAAgAAAAGAAAAAwAAAAQAAAASAAAAB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37BAD-1B4B-4C0A-AFCC-CF73DBF3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6</cp:revision>
  <cp:lastPrinted>2024-11-29T11:08:00Z</cp:lastPrinted>
  <dcterms:created xsi:type="dcterms:W3CDTF">2024-11-29T09:39:00Z</dcterms:created>
  <dcterms:modified xsi:type="dcterms:W3CDTF">2024-11-29T11:12:00Z</dcterms:modified>
</cp:coreProperties>
</file>