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06" w:rsidRPr="00CA5F24" w:rsidRDefault="00ED23DE">
      <w:pPr>
        <w:pStyle w:val="ab"/>
        <w:rPr>
          <w:rFonts w:ascii="Times New Roman" w:hAnsi="Times New Roman"/>
          <w:b/>
          <w:color w:val="0A4A0D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noProof/>
          <w:color w:val="0A4A0D"/>
          <w:sz w:val="24"/>
          <w:szCs w:val="24"/>
          <w:lang w:eastAsia="bg-BG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-67945</wp:posOffset>
            </wp:positionV>
            <wp:extent cx="1050925" cy="76835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F24">
        <w:rPr>
          <w:rFonts w:ascii="Times New Roman" w:hAnsi="Times New Roman"/>
          <w:b/>
          <w:color w:val="0A4A0D"/>
          <w:sz w:val="24"/>
          <w:szCs w:val="24"/>
          <w:lang w:val="en-US" w:eastAsia="bg-BG"/>
        </w:rPr>
        <w:t xml:space="preserve"> </w:t>
      </w:r>
    </w:p>
    <w:p w:rsidR="00C75306" w:rsidRDefault="00ED23DE">
      <w:pPr>
        <w:pStyle w:val="ab"/>
        <w:tabs>
          <w:tab w:val="center" w:pos="4703"/>
          <w:tab w:val="right" w:pos="9406"/>
          <w:tab w:val="right" w:pos="9498"/>
        </w:tabs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entury Gothic"/>
          <w:b/>
          <w:color w:val="4F6228"/>
          <w:sz w:val="24"/>
          <w:szCs w:val="24"/>
        </w:rPr>
        <w:t>МИНИСТЕРСТВО НА ЗЕМЕДЕЛИЕТО</w:t>
      </w:r>
      <w:r>
        <w:rPr>
          <w:rFonts w:ascii="Times New Roman" w:hAnsi="Times New Roman" w:cs="Century Gothic"/>
          <w:b/>
          <w:color w:val="4F6228"/>
          <w:sz w:val="24"/>
          <w:szCs w:val="24"/>
          <w:lang w:val="en-US"/>
        </w:rPr>
        <w:t xml:space="preserve">, </w:t>
      </w:r>
      <w:r>
        <w:rPr>
          <w:rFonts w:ascii="Times New Roman" w:hAnsi="Times New Roman" w:cs="Century Gothic"/>
          <w:b/>
          <w:color w:val="4F6228"/>
          <w:sz w:val="24"/>
          <w:szCs w:val="24"/>
        </w:rPr>
        <w:t>ХРАНИТЕИ ГОРИТЕ</w:t>
      </w:r>
    </w:p>
    <w:p w:rsidR="00C75306" w:rsidRDefault="00ED23DE">
      <w:pPr>
        <w:pStyle w:val="ab"/>
        <w:ind w:left="1701"/>
        <w:jc w:val="center"/>
        <w:rPr>
          <w:rFonts w:ascii="Century Gothic" w:hAnsi="Century Gothic" w:cs="Century Gothic"/>
          <w:b/>
          <w:color w:val="984806"/>
          <w:sz w:val="30"/>
          <w:szCs w:val="30"/>
        </w:rPr>
      </w:pPr>
      <w:r>
        <w:rPr>
          <w:rFonts w:ascii="Times New Roman" w:hAnsi="Times New Roman" w:cs="Century Gothic"/>
          <w:b/>
          <w:color w:val="984806"/>
          <w:sz w:val="24"/>
          <w:szCs w:val="24"/>
        </w:rPr>
        <w:t>СЕВЕРОИЗТОЧНО ДЪРЖАВНО ПРЕДПРИЯТИЕ</w:t>
      </w:r>
    </w:p>
    <w:p w:rsidR="00C75306" w:rsidRDefault="00ED23DE">
      <w:pPr>
        <w:pStyle w:val="ab"/>
        <w:ind w:left="1701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  <w:r>
        <w:rPr>
          <w:rFonts w:ascii="Times New Roman" w:hAnsi="Times New Roman" w:cs="Century Gothic"/>
          <w:b/>
          <w:color w:val="4F6228"/>
          <w:sz w:val="24"/>
          <w:szCs w:val="24"/>
        </w:rPr>
        <w:t>ТП „ДЪРЖАВНО ЛОВНО СТОПАНСТВО ПАЛАМАРА”</w:t>
      </w:r>
    </w:p>
    <w:p w:rsidR="00C75306" w:rsidRDefault="00C75306">
      <w:pPr>
        <w:pStyle w:val="ab"/>
        <w:ind w:left="1701"/>
        <w:jc w:val="center"/>
        <w:rPr>
          <w:rFonts w:ascii="Times New Roman" w:hAnsi="Times New Roman" w:cs="Century Gothic"/>
          <w:b/>
          <w:color w:val="4F6228"/>
          <w:sz w:val="24"/>
          <w:szCs w:val="24"/>
        </w:rPr>
      </w:pPr>
    </w:p>
    <w:p w:rsidR="00C75306" w:rsidRDefault="00ED23DE">
      <w:pPr>
        <w:pStyle w:val="ab"/>
        <w:jc w:val="center"/>
        <w:rPr>
          <w:rFonts w:ascii="Times New Roman" w:hAnsi="Times New Roman" w:cs="Century Gothic"/>
          <w:b/>
          <w:color w:val="4F6228"/>
          <w:sz w:val="24"/>
          <w:szCs w:val="24"/>
        </w:rPr>
      </w:pPr>
      <w:r>
        <w:rPr>
          <w:rFonts w:ascii="Times New Roman" w:hAnsi="Times New Roman" w:cs="Century Gothic"/>
          <w:b/>
          <w:noProof/>
          <w:color w:val="4F6228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126365</wp:posOffset>
                </wp:positionV>
                <wp:extent cx="7546340" cy="14605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600" cy="75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DA31B" id="shape_0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9.95pt" to="543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jIzQEAAPQDAAAOAAAAZHJzL2Uyb0RvYy54bWysU01v2zAMvQ/ofxB0X+wGbdMZcYqhQXsZ&#10;tmDdzoMiS7EAfYFS4+Tfj2Jcp+tOHXaRKJF85HuilncHZ9leQTLBt/xyVnOmvAyd8buW//zx8PGW&#10;s5SF74QNXrX8qBK/W118WA6xUfPQB9spYAjiUzPElvc5x6aqkuyVE2kWovLo1AGcyHiEXdWBGBDd&#10;2Wpe1zfVEKCLEKRKCW/XJydfEb7WSuZvWieVmW059pZpBVq3Za1WS9HsQMTeyLEN8Q9dOGE8Fp2g&#10;1iIL9gzmLyhnJIQUdJ7J4KqgtZGKOCCby/oNm6deREVcUJwUJ5nS/4OVX/cbYKZr+ZwzLxw+USpV&#10;f5E0Q0wNRtz7DaBQ5ZTiBgrPgwZXdmTADiTncZJTHTKTeLm4vrq+qVF1ib4FmkXt6pwbIeVHFRwr&#10;Rsut8YWsaMT+S8qn0JeQcm09G3DEPtW3NYWlYE33YKwtzgS77b0Fthf40Iv68/pqMVb7I8yZrAoV&#10;7MJ63M6UyMpHq06lviuNqhAzgpcj/ml0cLaR1ssAERgmlECN/bwzd0wp2Yom9p35UxLVDz5P+c74&#10;ACTDK3bF3IbuSE9KAuBokSLjNyiz+/pMMp0/6+o3AAAA//8DAFBLAwQUAAYACAAAACEA2mP7NuAA&#10;AAALAQAADwAAAGRycy9kb3ducmV2LnhtbEyPMWvDMBSE90L/g3iFLiWR7IBxXMshhGZpp8YJXWXr&#10;1Ta1noykJM6/rzK143HH3XflZjYju6DzgyUJyVIAQ2qtHqiTcKz3ixyYD4q0Gi2hhBt62FSPD6Uq&#10;tL3SJ14OoWOxhHyhJPQhTAXnvu3RKL+0E1L0vq0zKkTpOq6dusZyM/JUiIwbNVBc6NWEux7bn8PZ&#10;SNivjrnQ293J5c17nX3UX7eXt5WUz0/z9hVYwDn8heGOH9GhikyNPZP2bJSwSEQS2UN01mtg94TI&#10;swxYIyFNU+BVyf9/qH4BAAD//wMAUEsBAi0AFAAGAAgAAAAhALaDOJL+AAAA4QEAABMAAAAAAAAA&#10;AAAAAAAAAAAAAFtDb250ZW50X1R5cGVzXS54bWxQSwECLQAUAAYACAAAACEAOP0h/9YAAACUAQAA&#10;CwAAAAAAAAAAAAAAAAAvAQAAX3JlbHMvLnJlbHNQSwECLQAUAAYACAAAACEAElKIyM0BAAD0AwAA&#10;DgAAAAAAAAAAAAAAAAAuAgAAZHJzL2Uyb0RvYy54bWxQSwECLQAUAAYACAAAACEA2mP7NuAAAAAL&#10;AQAADwAAAAAAAAAAAAAAAAAnBAAAZHJzL2Rvd25yZXYueG1sUEsFBgAAAAAEAAQA8wAAADQFAAAA&#10;AA==&#10;" strokecolor="#70ad47" strokeweight=".53mm">
                <v:stroke joinstyle="miter"/>
              </v:line>
            </w:pict>
          </mc:Fallback>
        </mc:AlternateContent>
      </w:r>
    </w:p>
    <w:p w:rsidR="00C75306" w:rsidRDefault="00ED23DE">
      <w:pPr>
        <w:tabs>
          <w:tab w:val="left" w:pos="0"/>
        </w:tabs>
        <w:spacing w:after="0" w:line="240" w:lineRule="auto"/>
        <w:ind w:firstLine="567"/>
        <w:jc w:val="center"/>
      </w:pPr>
      <w:proofErr w:type="spell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Адрес</w:t>
      </w:r>
      <w:proofErr w:type="spellEnd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 xml:space="preserve">:  </w:t>
      </w:r>
      <w:proofErr w:type="spell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с.Венец</w:t>
      </w:r>
      <w:proofErr w:type="gram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,ПК</w:t>
      </w:r>
      <w:proofErr w:type="spellEnd"/>
      <w:proofErr w:type="gramEnd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 xml:space="preserve"> 9751, </w:t>
      </w:r>
      <w:proofErr w:type="spell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ул</w:t>
      </w:r>
      <w:proofErr w:type="spellEnd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.”</w:t>
      </w:r>
      <w:proofErr w:type="spell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Кирил</w:t>
      </w:r>
      <w:proofErr w:type="spellEnd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 xml:space="preserve"> и </w:t>
      </w:r>
      <w:proofErr w:type="spell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Методий</w:t>
      </w:r>
      <w:proofErr w:type="spellEnd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” №17</w:t>
      </w:r>
      <w:proofErr w:type="gramStart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>,тел.05343</w:t>
      </w:r>
      <w:proofErr w:type="gramEnd"/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 xml:space="preserve">/2049, email: </w:t>
      </w:r>
      <w:hyperlink r:id="rId9">
        <w:r>
          <w:rPr>
            <w:rStyle w:val="a6"/>
            <w:rFonts w:ascii="Times New Roman" w:hAnsi="Times New Roman" w:cs="Nimbus Roman No9 L;Times New Ro"/>
            <w:b/>
            <w:sz w:val="24"/>
            <w:szCs w:val="24"/>
            <w:lang w:val="en-US" w:eastAsia="bg-BG"/>
          </w:rPr>
          <w:t>dls.palamara@dpshumen.bg</w:t>
        </w:r>
      </w:hyperlink>
      <w:r>
        <w:rPr>
          <w:rFonts w:ascii="Times New Roman" w:hAnsi="Times New Roman" w:cs="Nimbus Roman No9 L;Times New Ro"/>
          <w:b/>
          <w:sz w:val="24"/>
          <w:szCs w:val="24"/>
          <w:u w:val="single"/>
          <w:lang w:val="en-US" w:eastAsia="bg-BG"/>
        </w:rPr>
        <w:t xml:space="preserve">; </w:t>
      </w:r>
      <w:hyperlink r:id="rId10">
        <w:r>
          <w:rPr>
            <w:rStyle w:val="a6"/>
            <w:rFonts w:ascii="Times New Roman" w:hAnsi="Times New Roman" w:cs="Nimbus Roman No9 L;Times New Ro"/>
            <w:b/>
            <w:sz w:val="24"/>
            <w:szCs w:val="24"/>
            <w:lang w:val="en-US" w:eastAsia="bg-BG"/>
          </w:rPr>
          <w:t>ddspalamara@abv.bg</w:t>
        </w:r>
      </w:hyperlink>
    </w:p>
    <w:p w:rsidR="00C75306" w:rsidRDefault="00C753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C75306" w:rsidRDefault="00C75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C75306" w:rsidRDefault="00ED2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75306" w:rsidRDefault="00C753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C75306" w:rsidRDefault="00ED23D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ЗА ПРОВЕЖДАНЕ НА ЕЛЕКТРОНЕН ТЪРГ ЗА ПРОДАЖБА НА ПРОГНОЗНО КОЛИЧЕСТВО ДЪРВЕСИНА ЗА ДОБИВ ОТ ВРЕМЕНЕН СКЛАД НА ТЕРИТОРИЯТА НА „ДЪРЖАВНО ЛОВНО СТОПАНСТВО ПАЛАМАРА“ – ТЕРИТОРИАЛНО ПОДЕЛЕНИЕ НА „СЕВЕРОИЗТОЧНО ДЪРЖАВНО ПРЕДПИРЯТИЕ ДП – ГР. ШУМЕН.</w:t>
      </w:r>
    </w:p>
    <w:p w:rsidR="00C75306" w:rsidRDefault="00C753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75306" w:rsidRDefault="00ED23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bg-BG"/>
        </w:rPr>
        <w:t>1. Продажба на прогнозно количество дървесина за добив от на временен склад</w:t>
      </w:r>
      <w:r>
        <w:rPr>
          <w:rFonts w:ascii="Times New Roman" w:hAnsi="Times New Roman"/>
          <w:sz w:val="24"/>
          <w:szCs w:val="24"/>
          <w:lang w:eastAsia="pl-PL"/>
        </w:rPr>
        <w:t xml:space="preserve">, чрез провеждане на електронен търг по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дървесни видове, количества, начални цени, гаранции за участие и стъпка за наддаване, с отдели и подотдели, така както са определени със заповедта за откриване на търга.</w:t>
      </w:r>
    </w:p>
    <w:p w:rsidR="00122578" w:rsidRDefault="001225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69"/>
        <w:gridCol w:w="1319"/>
        <w:gridCol w:w="1060"/>
        <w:gridCol w:w="1060"/>
        <w:gridCol w:w="960"/>
        <w:gridCol w:w="1059"/>
        <w:gridCol w:w="960"/>
        <w:gridCol w:w="960"/>
      </w:tblGrid>
      <w:tr w:rsidR="00041CB0" w:rsidRPr="006A20B9" w:rsidTr="00EA0FA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Обект</w:t>
            </w:r>
          </w:p>
        </w:tc>
        <w:tc>
          <w:tcPr>
            <w:tcW w:w="85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Отдел и подотдел</w:t>
            </w:r>
          </w:p>
        </w:tc>
        <w:tc>
          <w:tcPr>
            <w:tcW w:w="86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Дървесен вид</w:t>
            </w:r>
          </w:p>
        </w:tc>
        <w:tc>
          <w:tcPr>
            <w:tcW w:w="125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Сортимент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Общо прогнозно количество </w:t>
            </w: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пл.м</w:t>
            </w:r>
            <w:proofErr w:type="spellEnd"/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bg-BG"/>
              </w:rPr>
              <w:t xml:space="preserve"> 3</w:t>
            </w:r>
          </w:p>
        </w:tc>
        <w:tc>
          <w:tcPr>
            <w:tcW w:w="106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В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т.ч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техн. д-на и дърва за горене </w:t>
            </w:r>
            <w:proofErr w:type="spellStart"/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пр.м</w:t>
            </w:r>
            <w:proofErr w:type="spellEnd"/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bg-BG"/>
              </w:rPr>
              <w:t xml:space="preserve"> 3</w:t>
            </w:r>
          </w:p>
        </w:tc>
        <w:tc>
          <w:tcPr>
            <w:tcW w:w="96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Начална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ед.цена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лв./пл.м</w:t>
            </w: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bg-BG"/>
              </w:rPr>
              <w:t>3</w:t>
            </w: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или лв./пр.м3 без ДДС</w:t>
            </w:r>
          </w:p>
        </w:tc>
        <w:tc>
          <w:tcPr>
            <w:tcW w:w="105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Начална обща стойност(к.5 Х к.7 или к.6 Х к.7)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лв.без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ДДС</w:t>
            </w:r>
          </w:p>
        </w:tc>
        <w:tc>
          <w:tcPr>
            <w:tcW w:w="96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Гаранция за участие в лв.</w:t>
            </w:r>
          </w:p>
        </w:tc>
        <w:tc>
          <w:tcPr>
            <w:tcW w:w="96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Стъпка на наддаване в лв.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5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041CB0" w:rsidRPr="006A20B9" w:rsidTr="00EA0FA0">
        <w:trPr>
          <w:trHeight w:val="495"/>
        </w:trPr>
        <w:tc>
          <w:tcPr>
            <w:tcW w:w="72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5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041CB0" w:rsidRPr="006A20B9" w:rsidTr="00EA0FA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37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cyan"/>
                <w:lang w:eastAsia="bg-BG"/>
              </w:rPr>
              <w:t>1-8-2018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24е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цр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Едра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техн.дървесина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Средна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техн.дървесина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ОЗМ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ВСИЧКО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9724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209б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цр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Трупи за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бичане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над 30 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Трупи за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бичане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от 18-29см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гбр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Трупи за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бичане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от 18-29см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ВСИЧКО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8550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61в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цр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Средна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техн.дървесина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69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0C0C0" w:fill="C0C0C0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ВСИЧКО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48г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срлп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Средна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техн.дървесина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Дребна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техн.дървесина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Дърва за огрев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ОЗМ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ВСИЧКО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42д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срлп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Трупи за </w:t>
            </w:r>
            <w:proofErr w:type="spellStart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бичане</w:t>
            </w:r>
            <w:proofErr w:type="spellEnd"/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от 18-29см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Дърва за огрев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ОЗМ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C0C0C0" w:fill="C0C0C0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ВСИЧКО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BFBFBF" w:fill="BFBFB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0C0C0" w:fill="C0C0C0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FF" w:fill="FFFFFF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 </w:t>
            </w:r>
          </w:p>
        </w:tc>
      </w:tr>
      <w:tr w:rsidR="00041CB0" w:rsidRPr="006A20B9" w:rsidTr="00EA0FA0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ОБЩО ЗА ОБЕКТА</w:t>
            </w:r>
          </w:p>
        </w:tc>
        <w:tc>
          <w:tcPr>
            <w:tcW w:w="10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37584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969696" w:fill="969696"/>
            <w:noWrap/>
            <w:vAlign w:val="center"/>
            <w:hideMark/>
          </w:tcPr>
          <w:p w:rsidR="00041CB0" w:rsidRPr="006A20B9" w:rsidRDefault="00041CB0" w:rsidP="00EA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  <w:r w:rsidRPr="006A2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376</w:t>
            </w:r>
          </w:p>
        </w:tc>
      </w:tr>
    </w:tbl>
    <w:p w:rsidR="00C75306" w:rsidRDefault="00C7530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40D5E" w:rsidRDefault="00240D5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II. ВРЕМЕ И МЯСТО НА ПРОВЕЖДАНЕ НА ТЪРГА:</w:t>
      </w:r>
    </w:p>
    <w:p w:rsidR="00C75306" w:rsidRDefault="00C7530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Електронният Търг ще се проведе 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 xml:space="preserve">на </w:t>
      </w:r>
      <w:r w:rsidR="002E4A54"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03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.0</w:t>
      </w:r>
      <w:r w:rsidR="009F0771"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8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 xml:space="preserve">.2018 г. с начален час </w:t>
      </w:r>
      <w:r w:rsidR="00041CB0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1</w:t>
      </w:r>
      <w:r w:rsidR="00CC18D3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0</w:t>
      </w:r>
      <w:r w:rsidR="00041CB0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:</w:t>
      </w:r>
      <w:r w:rsidR="00CC18D3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3</w:t>
      </w:r>
      <w:r w:rsidR="00041CB0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0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 xml:space="preserve"> часа и край на наддаването в </w:t>
      </w:r>
      <w:r w:rsidR="00041CB0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1</w:t>
      </w:r>
      <w:r w:rsidR="00CC18D3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0</w:t>
      </w:r>
      <w:r w:rsidR="00041CB0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:</w:t>
      </w:r>
      <w:r w:rsidR="00CC18D3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4</w:t>
      </w:r>
      <w:r w:rsidR="00041CB0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0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 xml:space="preserve"> часа</w:t>
      </w:r>
      <w:r>
        <w:rPr>
          <w:rFonts w:ascii="Times New Roman" w:hAnsi="Times New Roman"/>
          <w:sz w:val="24"/>
          <w:szCs w:val="24"/>
          <w:lang w:eastAsia="bg-BG"/>
        </w:rPr>
        <w:t xml:space="preserve"> в интернет платформата на СИДП ДП – гр. Шумен, с електронен адрес: </w:t>
      </w:r>
      <w:r>
        <w:rPr>
          <w:rFonts w:ascii="Times New Roman" w:hAnsi="Times New Roman"/>
          <w:b/>
          <w:sz w:val="24"/>
          <w:szCs w:val="24"/>
          <w:lang w:eastAsia="bg-BG"/>
        </w:rPr>
        <w:t>https://sale.uslugi.io/sidp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КОЙТО МОЖЕ ДА СЕ УДЪЛЖИ С ДО 10 МИНУТИ.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В ДОБАВЕНАТА ЕДНА МИНУТА ИМА НОВО НАДДАВАНЕ, ВРЕМЕТО СЕ УВЕЛИЧАВА АВТОМАТИЧНО С ОЩЕ ЕДНА МИНУТА. ТОВА МОЖЕ ДА СЕ ПОВТОРИ ОБЩО ДО 10 /ДЕСЕТ/ ПЪТИ.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>
        <w:rPr>
          <w:rFonts w:ascii="Times New Roman" w:hAnsi="Times New Roman"/>
          <w:sz w:val="24"/>
          <w:szCs w:val="24"/>
          <w:lang w:eastAsia="bg-BG"/>
        </w:rPr>
        <w:t xml:space="preserve">Отразяването на съответното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на даден участник в системата на продавача, зависи от скоростта на ползваната от него Интернет връзка.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последно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се приема това което е последно достигнало и регистрирано в системата на продавача.</w:t>
      </w:r>
    </w:p>
    <w:p w:rsidR="00C75306" w:rsidRDefault="00C7530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 xml:space="preserve">Кандидатите за участие могат да извършват оглед на обекта от 09:00 часа до 16:00 часа на всеки работен ден от обявяването на търга включително до втория работен ден преди провеждане му. 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75306" w:rsidRDefault="00C7530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75306" w:rsidRDefault="00ED23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ІV. ГАРАНЦИ И СРОКОВЕ ЗА ПОДАВАНЕ НА ДОКУМЕНТИ</w:t>
      </w:r>
    </w:p>
    <w:p w:rsidR="00C75306" w:rsidRPr="00D0032B" w:rsidRDefault="00ED23DE" w:rsidP="00D0032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Гаранцията за участие за електронния търг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е посочена в </w:t>
      </w:r>
      <w:r w:rsidRPr="00CA5F24">
        <w:rPr>
          <w:rFonts w:ascii="Times New Roman" w:hAnsi="Times New Roman"/>
          <w:b/>
          <w:color w:val="FF0000"/>
          <w:sz w:val="24"/>
          <w:szCs w:val="24"/>
          <w:lang w:eastAsia="pl-PL"/>
        </w:rPr>
        <w:t>таблицата по-горе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D0032B">
        <w:rPr>
          <w:rFonts w:ascii="Times New Roman" w:hAnsi="Times New Roman"/>
          <w:sz w:val="24"/>
          <w:szCs w:val="24"/>
        </w:rPr>
        <w:t xml:space="preserve"> </w:t>
      </w:r>
      <w:r w:rsidRPr="00D0032B">
        <w:rPr>
          <w:rFonts w:ascii="Times New Roman" w:hAnsi="Times New Roman"/>
          <w:sz w:val="24"/>
          <w:szCs w:val="24"/>
          <w:lang w:eastAsia="pl-PL"/>
        </w:rPr>
        <w:t xml:space="preserve">Размерът на гаранцията за участие представлява абсолютна сума </w:t>
      </w:r>
      <w:r w:rsidRPr="00D0032B">
        <w:rPr>
          <w:rFonts w:ascii="Times New Roman" w:hAnsi="Times New Roman"/>
          <w:sz w:val="24"/>
          <w:szCs w:val="24"/>
          <w:highlight w:val="cyan"/>
          <w:lang w:eastAsia="pl-PL"/>
        </w:rPr>
        <w:t>от стойността на обекта – предмет на търга.</w:t>
      </w:r>
      <w:r w:rsidRPr="00D0032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ГАРАНЦИЯТА ЗА УЧАСТИЕ се представя единствено под формата на парична сума, платима </w:t>
      </w:r>
      <w:r>
        <w:rPr>
          <w:rFonts w:ascii="Times New Roman" w:hAnsi="Times New Roman"/>
          <w:b/>
          <w:sz w:val="24"/>
          <w:szCs w:val="24"/>
          <w:lang w:eastAsia="bg-BG"/>
        </w:rPr>
        <w:t>по банков път по сметка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”, а именно: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BAN: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>BG98 DEMI 9240 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000 1525 05, BIC: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>DEMI BGSF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Търговска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„Д” АД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, клон: Шумен, офис: с. Венец.</w:t>
      </w:r>
    </w:p>
    <w:p w:rsidR="00C75306" w:rsidRPr="002E4A54" w:rsidRDefault="00ED23D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в рамките на крайният срок за регистрация за участие в търга, а именно: </w:t>
      </w:r>
      <w:r w:rsidR="009F0771"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 xml:space="preserve">до </w:t>
      </w:r>
      <w:r w:rsidR="002E4A54"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01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.0</w:t>
      </w:r>
      <w:r w:rsidR="002E4A54"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8</w:t>
      </w:r>
      <w:r w:rsidRPr="002E4A54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.2018 г.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 внасяне на гаранция за участие в търга, се попълва платежно нареждане, като задължително се посочват следните данни: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”, за участие в </w:t>
      </w:r>
      <w:r>
        <w:rPr>
          <w:rFonts w:ascii="Times New Roman" w:hAnsi="Times New Roman"/>
          <w:b/>
          <w:sz w:val="24"/>
          <w:szCs w:val="24"/>
          <w:lang w:eastAsia="bg-BG"/>
        </w:rPr>
        <w:t>„ЕЛЕКТРОНЕН ТЪРГ“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продажба на прогнозно количество дървесина за добив от временен склад;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номера на </w:t>
      </w:r>
      <w:r>
        <w:rPr>
          <w:rFonts w:ascii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hAnsi="Times New Roman"/>
          <w:sz w:val="24"/>
          <w:szCs w:val="24"/>
          <w:lang w:eastAsia="bg-BG"/>
        </w:rPr>
        <w:t>, за който се внася гаранцията за участие;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наименование на фирмата-кандидат със задължително посочен </w:t>
      </w:r>
      <w:r>
        <w:rPr>
          <w:rFonts w:ascii="Times New Roman" w:hAnsi="Times New Roman"/>
          <w:b/>
          <w:sz w:val="24"/>
          <w:szCs w:val="24"/>
          <w:lang w:eastAsia="bg-BG"/>
        </w:rPr>
        <w:t>ЕИК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размера посочен в таблицата от т.1 от Раздел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hAnsi="Times New Roman"/>
          <w:sz w:val="24"/>
          <w:szCs w:val="24"/>
          <w:lang w:eastAsia="bg-BG"/>
        </w:rPr>
        <w:t>от настоящите условия.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5</w:t>
      </w:r>
      <w:r>
        <w:rPr>
          <w:rFonts w:ascii="Times New Roman" w:hAnsi="Times New Roman"/>
          <w:b/>
          <w:sz w:val="24"/>
          <w:szCs w:val="24"/>
          <w:lang w:eastAsia="bg-BG"/>
        </w:rPr>
        <w:t>% (</w:t>
      </w:r>
      <w:r>
        <w:rPr>
          <w:rFonts w:ascii="Times New Roman" w:hAnsi="Times New Roman"/>
          <w:sz w:val="24"/>
          <w:szCs w:val="24"/>
          <w:lang w:eastAsia="bg-BG"/>
        </w:rPr>
        <w:t>пет  процента</w:t>
      </w:r>
      <w:r>
        <w:rPr>
          <w:rFonts w:ascii="Times New Roman" w:hAnsi="Times New Roman"/>
          <w:b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от достигнатата цена за обекта и следва да бъде внесена по сметка на ТП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преди подписване на договора за покупко-продажба. Гаранцията за изпълнение се представя в една от следните форми: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3.1.</w:t>
      </w:r>
      <w:r>
        <w:rPr>
          <w:rFonts w:ascii="Times New Roman" w:hAnsi="Times New Roman"/>
          <w:sz w:val="24"/>
          <w:szCs w:val="24"/>
          <w:lang w:eastAsia="bg-BG"/>
        </w:rPr>
        <w:t xml:space="preserve"> парична сума, внесена по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3.2.</w:t>
      </w:r>
      <w:r>
        <w:rPr>
          <w:rFonts w:ascii="Times New Roman" w:hAnsi="Times New Roman"/>
          <w:sz w:val="24"/>
          <w:szCs w:val="24"/>
          <w:lang w:eastAsia="bg-BG"/>
        </w:rPr>
        <w:t xml:space="preserve"> банкова гаранция,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”.</w:t>
      </w:r>
    </w:p>
    <w:p w:rsidR="00C75306" w:rsidRDefault="00ED23DE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  <w:lang w:eastAsia="ar-SA"/>
        </w:rPr>
        <w:t xml:space="preserve">– безусловна и неотменяема. Същата се представя в </w:t>
      </w:r>
      <w:r>
        <w:rPr>
          <w:rFonts w:ascii="Times New Roman" w:hAnsi="Times New Roman"/>
          <w:b/>
          <w:sz w:val="24"/>
          <w:szCs w:val="24"/>
          <w:lang w:eastAsia="ar-SA"/>
        </w:rPr>
        <w:t>оригинал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сключване на договора, като срокът ѝ на действие следва да е </w:t>
      </w:r>
      <w:r>
        <w:rPr>
          <w:rFonts w:ascii="Times New Roman" w:hAnsi="Times New Roman"/>
          <w:b/>
          <w:sz w:val="24"/>
          <w:szCs w:val="24"/>
          <w:lang w:eastAsia="ar-SA"/>
        </w:rPr>
        <w:t>не по-малък от един (1) месец</w:t>
      </w:r>
      <w:r>
        <w:rPr>
          <w:rFonts w:ascii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трябва да е налице изрично изявление, че същата се освобождава само след писмено известие от Продавача.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4.1.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за класиране и определяне на купувач.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4.2.</w:t>
      </w:r>
      <w:r>
        <w:rPr>
          <w:rFonts w:ascii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за покупко-продажба;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7. </w:t>
      </w:r>
      <w:r>
        <w:rPr>
          <w:rFonts w:ascii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hAnsi="Times New Roman"/>
          <w:sz w:val="24"/>
          <w:szCs w:val="24"/>
          <w:lang w:eastAsia="bg-BG"/>
        </w:rPr>
        <w:t xml:space="preserve"> обжалва заповедта за класиране и определяне на купувач – до решаване на спора с влязло в сила решение;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8. </w:t>
      </w:r>
      <w:r>
        <w:rPr>
          <w:rFonts w:ascii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9. </w:t>
      </w:r>
      <w:r>
        <w:rPr>
          <w:rFonts w:ascii="Times New Roman" w:hAnsi="Times New Roman"/>
          <w:sz w:val="24"/>
          <w:szCs w:val="24"/>
          <w:lang w:eastAsia="bg-BG"/>
        </w:rPr>
        <w:t xml:space="preserve">Тръжните условия за провеждане на електронния търг могат да бъдат изтеглени от Интернет портала на търга, а именно: </w:t>
      </w:r>
      <w:r>
        <w:rPr>
          <w:rFonts w:ascii="Times New Roman" w:hAnsi="Times New Roman"/>
          <w:b/>
          <w:sz w:val="24"/>
          <w:szCs w:val="24"/>
          <w:lang w:eastAsia="bg-BG"/>
        </w:rPr>
        <w:t>https://sale.uslugi.io/sidp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10. СРОКОВЕТЕ за подаване на документи</w:t>
      </w:r>
      <w:r>
        <w:rPr>
          <w:rFonts w:ascii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  <w:r w:rsidR="009F0771">
        <w:rPr>
          <w:rFonts w:ascii="Times New Roman" w:hAnsi="Times New Roman"/>
          <w:b/>
          <w:sz w:val="24"/>
          <w:szCs w:val="24"/>
          <w:highlight w:val="yellow"/>
          <w:lang w:eastAsia="bg-BG"/>
        </w:rPr>
        <w:t xml:space="preserve">23:59 часа на </w:t>
      </w:r>
      <w:r w:rsidR="007C6CCB" w:rsidRPr="007C6CCB">
        <w:rPr>
          <w:rFonts w:ascii="Times New Roman" w:hAnsi="Times New Roman"/>
          <w:b/>
          <w:sz w:val="24"/>
          <w:szCs w:val="24"/>
          <w:highlight w:val="cyan"/>
          <w:lang w:eastAsia="bg-BG"/>
        </w:rPr>
        <w:t>01.08</w:t>
      </w:r>
      <w:r w:rsidRPr="007C6CCB">
        <w:rPr>
          <w:rFonts w:ascii="Times New Roman" w:hAnsi="Times New Roman"/>
          <w:b/>
          <w:sz w:val="24"/>
          <w:szCs w:val="24"/>
          <w:highlight w:val="cyan"/>
          <w:lang w:eastAsia="bg-BG"/>
        </w:rPr>
        <w:t>.2018 година</w:t>
      </w:r>
      <w:r w:rsidRPr="007C6CCB">
        <w:rPr>
          <w:rFonts w:ascii="Times New Roman" w:hAnsi="Times New Roman"/>
          <w:sz w:val="24"/>
          <w:szCs w:val="24"/>
          <w:highlight w:val="cyan"/>
          <w:lang w:eastAsia="bg-BG"/>
        </w:rPr>
        <w:t>.</w:t>
      </w:r>
    </w:p>
    <w:p w:rsidR="00C75306" w:rsidRDefault="00C753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75306" w:rsidRDefault="00ED23DE">
      <w:pPr>
        <w:tabs>
          <w:tab w:val="left" w:pos="3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V. ПРАВО НА УЧАСТИЕ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eastAsia="Times New Roman"/>
          <w:b/>
          <w:color w:val="000000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 участие в търга се допускат юридически и физически лица, еднолични</w:t>
      </w:r>
      <w:r w:rsidR="00DC06C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търговци или техни обединения.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а) е осъден с влязла в сила присъда, освен ако е реабилитиран, за престъпление по чл. 194 – 217; 219 – 260; 301 – 307; 321 и 321а от Наказателния кодекс;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б) е обявен в несъстоятелност или</w:t>
      </w:r>
      <w:r w:rsidR="00126D7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56FD8">
        <w:rPr>
          <w:rFonts w:ascii="Times New Roman" w:hAnsi="Times New Roman"/>
          <w:sz w:val="24"/>
          <w:szCs w:val="24"/>
          <w:highlight w:val="cyan"/>
          <w:lang w:eastAsia="bg-BG"/>
        </w:rPr>
        <w:t>г) е свързано лице по смисъла на § 1, т. 1</w:t>
      </w:r>
      <w:r w:rsidR="002E4A54" w:rsidRPr="00156FD8">
        <w:rPr>
          <w:rFonts w:ascii="Times New Roman" w:hAnsi="Times New Roman"/>
          <w:sz w:val="24"/>
          <w:szCs w:val="24"/>
          <w:highlight w:val="cyan"/>
          <w:lang w:eastAsia="bg-BG"/>
        </w:rPr>
        <w:t>5</w:t>
      </w:r>
      <w:r w:rsidRPr="00156FD8">
        <w:rPr>
          <w:rFonts w:ascii="Times New Roman" w:hAnsi="Times New Roman"/>
          <w:sz w:val="24"/>
          <w:szCs w:val="24"/>
          <w:highlight w:val="cyan"/>
          <w:lang w:eastAsia="bg-BG"/>
        </w:rPr>
        <w:t xml:space="preserve"> от допълнителната разпоредба на Закона за противодействие на корупцията и за отнемане на незаконно придобито имущество (ЗПКОНПИ) с директора на „Североизточно държавно предприятие” ДП – гр. Шумен и директора на </w:t>
      </w:r>
      <w:r w:rsidRPr="00156FD8">
        <w:rPr>
          <w:rFonts w:ascii="Times New Roman" w:hAnsi="Times New Roman"/>
          <w:b/>
          <w:sz w:val="24"/>
          <w:szCs w:val="24"/>
          <w:highlight w:val="cyan"/>
          <w:lang w:eastAsia="bg-BG"/>
        </w:rPr>
        <w:t xml:space="preserve">ТП </w:t>
      </w:r>
      <w:r w:rsidRPr="00156FD8">
        <w:rPr>
          <w:rFonts w:ascii="Times New Roman" w:hAnsi="Times New Roman"/>
          <w:sz w:val="24"/>
          <w:szCs w:val="24"/>
          <w:highlight w:val="cyan"/>
          <w:lang w:eastAsia="bg-BG"/>
        </w:rPr>
        <w:t>„</w:t>
      </w:r>
      <w:r w:rsidRPr="00156FD8">
        <w:rPr>
          <w:rFonts w:ascii="Times New Roman" w:hAnsi="Times New Roman"/>
          <w:b/>
          <w:bCs/>
          <w:sz w:val="24"/>
          <w:szCs w:val="24"/>
          <w:highlight w:val="cyan"/>
          <w:lang w:eastAsia="bg-BG"/>
        </w:rPr>
        <w:t xml:space="preserve">ДЛС </w:t>
      </w:r>
      <w:proofErr w:type="spellStart"/>
      <w:r w:rsidRPr="00156FD8">
        <w:rPr>
          <w:rFonts w:ascii="Times New Roman" w:hAnsi="Times New Roman"/>
          <w:b/>
          <w:bCs/>
          <w:sz w:val="24"/>
          <w:szCs w:val="24"/>
          <w:highlight w:val="cyan"/>
          <w:lang w:eastAsia="bg-BG"/>
        </w:rPr>
        <w:t>Паламара</w:t>
      </w:r>
      <w:proofErr w:type="spellEnd"/>
      <w:r w:rsidRPr="00156FD8">
        <w:rPr>
          <w:rFonts w:ascii="Times New Roman" w:hAnsi="Times New Roman"/>
          <w:sz w:val="24"/>
          <w:szCs w:val="24"/>
          <w:highlight w:val="cyan"/>
          <w:lang w:eastAsia="bg-BG"/>
        </w:rPr>
        <w:t>” с. Венец;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д) е сключил договор с лице по чл. 68 от Закона за противодействие на корупцията и за отнемане на незаконно придобито имущество;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е) е лишен от право да упражнява търговска дейност;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ж) има парични задължения към държавата, към „Североизточно държавно предприятие” ДП – гр. Шумен и териториалните му поделения, установени с влязъл в сила акт на компетентен държавен орган.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Тези изисквания се отнасят за управителите и членове на управителните органи на кандидата.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При продажбата на добита дървесина </w:t>
      </w:r>
      <w:r>
        <w:rPr>
          <w:rFonts w:ascii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регистри по чл. 235 и чл. 241 от Закона за горите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C75306" w:rsidRDefault="00C7530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75306" w:rsidRDefault="00ED23DE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VI. РЕГИСТРАЦИЯ, ДОКУМЕНТИ И ВПИСВАНЕ НА КАНДИДАТИТЕ ЗА УЧАСТИЕ В ТЪРГА</w:t>
      </w:r>
    </w:p>
    <w:p w:rsidR="00C75306" w:rsidRDefault="00C75306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https://sale.uslugi.io/sidp </w:t>
      </w:r>
    </w:p>
    <w:p w:rsidR="00C75306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УИК (уникален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код) за участие и ЛИНК за потвърждение на вписването му</w:t>
      </w:r>
      <w:r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4. Срокът за подаване на документите за участие в търга е съгласно </w:t>
      </w:r>
      <w:r>
        <w:rPr>
          <w:rFonts w:ascii="Times New Roman" w:hAnsi="Times New Roman"/>
          <w:sz w:val="24"/>
          <w:szCs w:val="24"/>
          <w:lang w:eastAsia="bg-BG"/>
        </w:rPr>
        <w:t>указания в раздел ІV, т. 10 от настоящите условия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>
        <w:rPr>
          <w:rFonts w:ascii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C75306" w:rsidRPr="00C2288B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cyan"/>
        </w:rPr>
      </w:pPr>
      <w:r w:rsidRPr="00C2288B">
        <w:rPr>
          <w:rFonts w:ascii="Times New Roman" w:hAnsi="Times New Roman"/>
          <w:b/>
          <w:sz w:val="24"/>
          <w:szCs w:val="24"/>
          <w:highlight w:val="cyan"/>
          <w:lang w:eastAsia="bg-BG"/>
        </w:rPr>
        <w:t xml:space="preserve">6.1. </w:t>
      </w: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>Декларация № 1 по образец, за липсата на основание по чл. 58, ал. 1, т. 3 от наредбата по чл. 95, ал. 1 от ЗГ</w:t>
      </w:r>
      <w:r w:rsidR="00D65647" w:rsidRPr="00C2288B">
        <w:rPr>
          <w:rFonts w:ascii="Times New Roman" w:hAnsi="Times New Roman"/>
          <w:sz w:val="24"/>
          <w:szCs w:val="24"/>
          <w:highlight w:val="cyan"/>
          <w:lang w:eastAsia="bg-BG"/>
        </w:rPr>
        <w:t xml:space="preserve"> </w:t>
      </w: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>и че кандидатът е запознат с условията за провеждане на търга и приема условията от проекта на договора за покупко-продажба на добита дървесина.</w:t>
      </w:r>
    </w:p>
    <w:p w:rsidR="00C75306" w:rsidRPr="00C2288B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cyan"/>
        </w:rPr>
      </w:pPr>
      <w:r w:rsidRPr="00C2288B">
        <w:rPr>
          <w:rFonts w:ascii="Times New Roman" w:hAnsi="Times New Roman"/>
          <w:b/>
          <w:sz w:val="24"/>
          <w:szCs w:val="24"/>
          <w:highlight w:val="cyan"/>
          <w:u w:val="single"/>
          <w:lang w:eastAsia="bg-BG"/>
        </w:rPr>
        <w:t>Забележка:</w:t>
      </w: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 xml:space="preserve"> Декларацията и останалите документи се подават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Търговския регистър.</w:t>
      </w:r>
    </w:p>
    <w:p w:rsidR="00C75306" w:rsidRPr="00C2288B" w:rsidRDefault="00ED23DE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highlight w:val="cyan"/>
        </w:rPr>
      </w:pPr>
      <w:r w:rsidRPr="00C2288B">
        <w:rPr>
          <w:rFonts w:ascii="Times New Roman" w:hAnsi="Times New Roman"/>
          <w:b/>
          <w:sz w:val="24"/>
          <w:szCs w:val="24"/>
          <w:highlight w:val="cyan"/>
          <w:lang w:eastAsia="bg-BG"/>
        </w:rPr>
        <w:t>Допълнителната сканирана декларация и останалите документи трябва да бъдат прикачени в раздел „Изисквани документи” към Документа за внесена гаранция за участие.</w:t>
      </w:r>
    </w:p>
    <w:p w:rsidR="00C75306" w:rsidRPr="00C2288B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  <w:r w:rsidRPr="00C2288B">
        <w:rPr>
          <w:rFonts w:ascii="Times New Roman" w:hAnsi="Times New Roman"/>
          <w:b/>
          <w:sz w:val="24"/>
          <w:szCs w:val="24"/>
          <w:highlight w:val="cyan"/>
          <w:lang w:eastAsia="bg-BG"/>
        </w:rPr>
        <w:t>6.</w:t>
      </w:r>
      <w:r w:rsidR="00D65647" w:rsidRPr="00C2288B">
        <w:rPr>
          <w:rFonts w:ascii="Times New Roman" w:hAnsi="Times New Roman"/>
          <w:b/>
          <w:sz w:val="24"/>
          <w:szCs w:val="24"/>
          <w:highlight w:val="cyan"/>
          <w:lang w:eastAsia="bg-BG"/>
        </w:rPr>
        <w:t>2</w:t>
      </w:r>
      <w:r w:rsidRPr="00C2288B">
        <w:rPr>
          <w:rFonts w:ascii="Times New Roman" w:hAnsi="Times New Roman"/>
          <w:b/>
          <w:sz w:val="24"/>
          <w:szCs w:val="24"/>
          <w:highlight w:val="cyan"/>
          <w:lang w:eastAsia="bg-BG"/>
        </w:rPr>
        <w:t xml:space="preserve">. </w:t>
      </w: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 xml:space="preserve">Документ за внесена гаранция за участие – представя се </w:t>
      </w:r>
      <w:r w:rsidRPr="00C2288B">
        <w:rPr>
          <w:rFonts w:ascii="Times New Roman" w:hAnsi="Times New Roman"/>
          <w:sz w:val="24"/>
          <w:szCs w:val="24"/>
          <w:highlight w:val="cyan"/>
          <w:lang w:eastAsia="ar-SA"/>
        </w:rPr>
        <w:t>в сканиран вид, като прикачен файл.</w:t>
      </w:r>
    </w:p>
    <w:p w:rsidR="00D65647" w:rsidRPr="00C2288B" w:rsidRDefault="00D65647" w:rsidP="00D65647">
      <w:pPr>
        <w:tabs>
          <w:tab w:val="left" w:pos="0"/>
        </w:tabs>
        <w:spacing w:after="0" w:line="240" w:lineRule="auto"/>
        <w:ind w:firstLine="567"/>
        <w:jc w:val="both"/>
        <w:rPr>
          <w:rFonts w:ascii="TimesNewRomanPSMT" w:hAnsi="TimesNewRomanPSMT" w:cs="TimesNewRomanPSMT"/>
          <w:color w:val="auto"/>
          <w:szCs w:val="24"/>
          <w:highlight w:val="cyan"/>
          <w:lang w:val="ru-RU"/>
        </w:rPr>
      </w:pPr>
      <w:r w:rsidRPr="00C2288B">
        <w:rPr>
          <w:rFonts w:ascii="TimesNewRomanPSMT" w:hAnsi="TimesNewRomanPSMT" w:cs="TimesNewRomanPSMT"/>
          <w:color w:val="auto"/>
          <w:szCs w:val="24"/>
          <w:highlight w:val="cyan"/>
          <w:lang w:val="ru-RU"/>
        </w:rPr>
        <w:tab/>
        <w:t xml:space="preserve">  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  <w:lang w:val="ru-RU"/>
        </w:rPr>
        <w:t>6.3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</w:rPr>
        <w:t>ДЕКЛАРАЦИЯ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  <w:lang w:val="ru-RU"/>
        </w:rPr>
        <w:t xml:space="preserve"> 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</w:rPr>
        <w:t>за информираност и съгласие за обработван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  <w:lang w:val="en-US"/>
        </w:rPr>
        <w:t>e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</w:rPr>
        <w:t xml:space="preserve"> на лични данни</w:t>
      </w:r>
      <w:r w:rsidRPr="00D65647">
        <w:rPr>
          <w:rFonts w:ascii="TimesNewRomanPSMT" w:hAnsi="TimesNewRomanPSMT" w:cs="TimesNewRomanPSMT"/>
          <w:color w:val="auto"/>
          <w:szCs w:val="24"/>
          <w:highlight w:val="cyan"/>
          <w:lang w:val="ru-RU"/>
        </w:rPr>
        <w:t xml:space="preserve"> </w:t>
      </w:r>
      <w:r w:rsidRPr="00D65647">
        <w:rPr>
          <w:rFonts w:ascii="Times New Roman" w:hAnsi="Times New Roman"/>
          <w:b/>
          <w:color w:val="auto"/>
          <w:highlight w:val="cyan"/>
          <w:lang w:eastAsia="bg-BG"/>
        </w:rPr>
        <w:t xml:space="preserve">– </w:t>
      </w:r>
      <w:r w:rsidRPr="00D65647">
        <w:rPr>
          <w:rFonts w:ascii="Times New Roman" w:hAnsi="Times New Roman"/>
          <w:b/>
          <w:color w:val="auto"/>
          <w:highlight w:val="cyan"/>
          <w:u w:val="single"/>
          <w:lang w:eastAsia="bg-BG"/>
        </w:rPr>
        <w:t xml:space="preserve">представя се </w:t>
      </w:r>
      <w:r w:rsidRPr="00D65647">
        <w:rPr>
          <w:rFonts w:ascii="Times New Roman" w:hAnsi="Times New Roman"/>
          <w:b/>
          <w:color w:val="auto"/>
          <w:highlight w:val="cyan"/>
          <w:u w:val="single"/>
          <w:lang w:eastAsia="ar-SA"/>
        </w:rPr>
        <w:t>в сканиран вид, като прикачен файл</w:t>
      </w:r>
      <w:r w:rsidRPr="00D65647">
        <w:rPr>
          <w:rFonts w:ascii="Times New Roman" w:hAnsi="Times New Roman"/>
          <w:b/>
          <w:color w:val="auto"/>
          <w:highlight w:val="cyan"/>
          <w:u w:val="single"/>
          <w:lang w:val="ru-RU" w:eastAsia="ar-SA"/>
        </w:rPr>
        <w:t>.</w:t>
      </w:r>
    </w:p>
    <w:p w:rsidR="00C75306" w:rsidRPr="00C2288B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cyan"/>
          <w:lang w:eastAsia="bg-BG"/>
        </w:rPr>
      </w:pP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75306" w:rsidRDefault="00C75306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75306" w:rsidRDefault="00ED23DE">
      <w:pPr>
        <w:spacing w:after="0" w:line="240" w:lineRule="auto"/>
        <w:ind w:firstLine="851"/>
        <w:jc w:val="center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VІІ. ДОПУСКАНЕ ДО УЧАСТИЕ В НАДДАВАНЕ. РЕД И НАЧИН ЗА ПРОВЕЖДАНЕ НА ЕЛЕКТРОННИЯ ТЪРГ.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срок в раздел ІV, т. 10 от настоящите условия.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отстранява от участие в търга кандидат: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7.3.1. </w:t>
      </w:r>
      <w:r>
        <w:rPr>
          <w:rFonts w:ascii="Times New Roman" w:hAnsi="Times New Roman"/>
          <w:sz w:val="24"/>
          <w:szCs w:val="24"/>
          <w:lang w:eastAsia="bg-BG"/>
        </w:rPr>
        <w:t>Който не е представил някой от изискуемите документи или те са представени във вид и съдържание, различни от изисканите;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7.3.2</w:t>
      </w:r>
      <w:r>
        <w:rPr>
          <w:rFonts w:ascii="Times New Roman" w:hAnsi="Times New Roman"/>
          <w:sz w:val="24"/>
          <w:szCs w:val="24"/>
          <w:lang w:eastAsia="bg-BG"/>
        </w:rPr>
        <w:t>. За когото са налице обстоятелства по чл. 58, ал. 1, т. 3 от Наредбата по чл. 95, ал. 1 от ЗГ – комисията проверява служебно заявените обстоятелства в ТР.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8.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 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допускане или за отхвърляне от участието му в търга, съгласно настоящите условия.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8.1. </w:t>
      </w:r>
      <w:r>
        <w:rPr>
          <w:rFonts w:ascii="Times New Roman" w:hAnsi="Times New Roman"/>
          <w:sz w:val="24"/>
          <w:szCs w:val="24"/>
          <w:lang w:eastAsia="bg-BG"/>
        </w:rPr>
        <w:t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партидата на обекта на „ИНТЕРНЕТ ПЛАТФОРМАТА НА СИДП ДП – гр. Шумен (ИО)“ сайт страницата на СИДП ДП – гр. Шумен.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8.2.</w:t>
      </w:r>
      <w:r>
        <w:rPr>
          <w:rFonts w:ascii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9. Наддаването се извършва „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“ – в реално време, като на кандидатите са ясни </w:t>
      </w:r>
      <w:r>
        <w:rPr>
          <w:rFonts w:ascii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10.</w:t>
      </w:r>
      <w:r>
        <w:rPr>
          <w:rFonts w:ascii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11.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12.</w:t>
      </w:r>
      <w:r>
        <w:rPr>
          <w:rFonts w:ascii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предложения.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участниците в явния търг само потвърдят началната обявена цена в определения времеви интервал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предложения, търгът приключва.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14.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>
        <w:rPr>
          <w:rFonts w:ascii="Times New Roman" w:hAnsi="Times New Roman"/>
          <w:b/>
          <w:sz w:val="24"/>
          <w:szCs w:val="24"/>
          <w:lang w:eastAsia="bg-BG"/>
        </w:rPr>
        <w:t>се е вписал</w:t>
      </w:r>
      <w:r>
        <w:rPr>
          <w:rFonts w:ascii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в размер на поне една стъпка, същият се обявява за спечелил търга. Когато, единственият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 поне една стъпка, търгът се прекратява. 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15.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в размер на поне една стъпка. Когато единственият одобрен 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 поне една стъпка, търгът се прекратява. 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16. Електронният търг завършва със заповед на органа, открил процедурата, за: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16.1</w:t>
      </w:r>
      <w:r>
        <w:rPr>
          <w:rFonts w:ascii="Times New Roman" w:hAnsi="Times New Roman"/>
          <w:sz w:val="24"/>
          <w:szCs w:val="24"/>
          <w:lang w:eastAsia="bg-BG"/>
        </w:rPr>
        <w:t>. Определяне на купувач, или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16.2.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ЦУ на СИДП ДП – гр. Шумен, съответно и на Интернет страницата на </w:t>
      </w:r>
      <w:r>
        <w:rPr>
          <w:rFonts w:ascii="Times New Roman" w:hAnsi="Times New Roman"/>
          <w:b/>
          <w:sz w:val="24"/>
          <w:szCs w:val="24"/>
          <w:lang w:eastAsia="bg-BG"/>
        </w:rPr>
        <w:t>ТП</w:t>
      </w:r>
      <w:r>
        <w:rPr>
          <w:rFonts w:ascii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”. </w:t>
      </w:r>
    </w:p>
    <w:p w:rsidR="00C75306" w:rsidRDefault="00C753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75306" w:rsidRDefault="00ED23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VIIІ. СРОКОВЕ ЗА ПЛАЩАНЕ И ТРАНСПОРТИРАНЕ НА ЗАКУПЕНАТА ДЪРВЕСИНА.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Спечелилият търга,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след подписване на договора и преди издаване на първия превозен билет</w:t>
      </w:r>
      <w:r>
        <w:rPr>
          <w:rFonts w:ascii="Times New Roman" w:hAnsi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Pr="00C2288B">
        <w:rPr>
          <w:rFonts w:ascii="Times New Roman" w:hAnsi="Times New Roman"/>
          <w:sz w:val="24"/>
          <w:szCs w:val="24"/>
          <w:highlight w:val="cyan"/>
          <w:u w:val="single"/>
          <w:lang w:eastAsia="bg-BG"/>
        </w:rPr>
        <w:t>20% (двадесет  процента)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достигнатата при търга цена</w:t>
      </w:r>
      <w:r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законовоустановения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размер на ДДС. След транспортиране на количество дървесина на стойност, равна на авансовата вноска, следващите плащания на дървесина се извършват на авансови вноски, внесени по сметката на продавача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и предхождащи извоза на дървесината.</w:t>
      </w:r>
    </w:p>
    <w:p w:rsidR="00C75306" w:rsidRDefault="00ED23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Териториално поделение 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Дървесината се транспортира в срока на договора, но не по-късно от 14 (четиринадесет) дни след подписване на предавателно-приемателен протокол от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“. 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0,3% за всеки просрочен ден</w:t>
      </w:r>
      <w:r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Срок за изпълнение на договора до</w:t>
      </w:r>
      <w:r>
        <w:rPr>
          <w:rFonts w:ascii="Times New Roman" w:hAnsi="Times New Roman"/>
          <w:b/>
          <w:sz w:val="24"/>
          <w:szCs w:val="24"/>
          <w:highlight w:val="yellow"/>
          <w:lang w:val="en-US" w:eastAsia="bg-BG"/>
        </w:rPr>
        <w:t xml:space="preserve"> 20.12.2018г.</w:t>
      </w:r>
    </w:p>
    <w:p w:rsidR="00C75306" w:rsidRDefault="00C753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C75306" w:rsidRDefault="00ED23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hAnsi="Times New Roman"/>
          <w:sz w:val="24"/>
          <w:szCs w:val="24"/>
          <w:lang w:eastAsia="bg-BG"/>
        </w:rPr>
        <w:t xml:space="preserve"> Не са подадени документи за участие;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hAnsi="Times New Roman"/>
          <w:sz w:val="24"/>
          <w:szCs w:val="24"/>
          <w:lang w:eastAsia="bg-BG"/>
        </w:rPr>
        <w:t xml:space="preserve"> Документите за участие на всички кандидати не отговарят на изискванията и условията на търга;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1.5.</w:t>
      </w:r>
      <w:r>
        <w:rPr>
          <w:rFonts w:ascii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1.6.</w:t>
      </w:r>
      <w:r>
        <w:rPr>
          <w:rFonts w:ascii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1.7.</w:t>
      </w:r>
      <w:r>
        <w:rPr>
          <w:rFonts w:ascii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ѝ.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1.8.</w:t>
      </w:r>
      <w:r>
        <w:rPr>
          <w:rFonts w:ascii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1.9</w:t>
      </w:r>
      <w:r>
        <w:rPr>
          <w:rFonts w:ascii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75306" w:rsidRDefault="00C753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C75306" w:rsidRDefault="00ED23DE">
      <w:pPr>
        <w:keepNext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от проведения електронен търг, продавачът издава заповед, с която определя класирането на участниците, която се съобщава на заинтересуваните лица по реда на АПК и я публикува на Интернет страницата си.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подписването на договора кандидатът, определен за спечелил, представя документ </w:t>
      </w: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>за гаранция за изпълнение на договора в размер на 5</w:t>
      </w:r>
      <w:r w:rsidRPr="00C2288B">
        <w:rPr>
          <w:rFonts w:ascii="Times New Roman" w:hAnsi="Times New Roman"/>
          <w:b/>
          <w:sz w:val="24"/>
          <w:szCs w:val="24"/>
          <w:highlight w:val="cyan"/>
          <w:lang w:eastAsia="bg-BG"/>
        </w:rPr>
        <w:t>%</w:t>
      </w:r>
      <w:r w:rsidRPr="00C2288B">
        <w:rPr>
          <w:rFonts w:ascii="Times New Roman" w:hAnsi="Times New Roman"/>
          <w:sz w:val="24"/>
          <w:szCs w:val="24"/>
          <w:highlight w:val="cyan"/>
          <w:lang w:eastAsia="bg-BG"/>
        </w:rPr>
        <w:t xml:space="preserve"> (пет процента)</w:t>
      </w:r>
      <w:r>
        <w:rPr>
          <w:rFonts w:ascii="Times New Roman" w:hAnsi="Times New Roman"/>
          <w:sz w:val="24"/>
          <w:szCs w:val="24"/>
          <w:lang w:eastAsia="bg-BG"/>
        </w:rPr>
        <w:t xml:space="preserve"> от стойността на договора (в зависимост от направения от кандидата избор за формата на гаранцията – внесена парична сума или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bg-BG"/>
        </w:rPr>
        <w:t>на банкова гаранция).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Договорът се сключва след като определеният за спечелил процедурата представи документ за внесена или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В случай, че участникът не представи документите по предходната точка договор с този участник не се сключва.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ТП „ДЛС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 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Органът, открил процедурата не сключва договор с определения за спечелил в случай, че:</w:t>
      </w:r>
    </w:p>
    <w:p w:rsidR="00C75306" w:rsidRDefault="00ED23D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. В срок от седем работни дни от определянето му за спечелил не представи:</w:t>
      </w:r>
    </w:p>
    <w:p w:rsidR="00C75306" w:rsidRDefault="00ED23D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1.1. </w:t>
      </w:r>
      <w:r>
        <w:rPr>
          <w:rFonts w:ascii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</w:t>
      </w:r>
      <w:r w:rsidR="009F0771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 дата на издаване след датата на определяне на кандидата за спечелил.</w:t>
      </w:r>
    </w:p>
    <w:p w:rsidR="00C75306" w:rsidRDefault="00ED23D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1.2. </w:t>
      </w:r>
      <w:r>
        <w:rPr>
          <w:rFonts w:ascii="Times New Roman" w:hAnsi="Times New Roman"/>
          <w:sz w:val="24"/>
          <w:szCs w:val="24"/>
          <w:lang w:eastAsia="bg-BG"/>
        </w:rPr>
        <w:t xml:space="preserve">Документ за внесена или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гаранция за изпълнение на договора;</w:t>
      </w:r>
    </w:p>
    <w:p w:rsidR="00C75306" w:rsidRDefault="00ED23D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1.3. </w:t>
      </w:r>
      <w:r>
        <w:rPr>
          <w:rFonts w:ascii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2CAB">
        <w:rPr>
          <w:rFonts w:ascii="Times New Roman" w:hAnsi="Times New Roman"/>
          <w:sz w:val="24"/>
          <w:szCs w:val="24"/>
          <w:highlight w:val="cyan"/>
          <w:lang w:eastAsia="bg-BG"/>
        </w:rPr>
        <w:t xml:space="preserve">Не плати </w:t>
      </w:r>
      <w:r w:rsidR="00612CAB">
        <w:rPr>
          <w:rFonts w:ascii="Times New Roman" w:hAnsi="Times New Roman"/>
          <w:sz w:val="24"/>
          <w:szCs w:val="24"/>
          <w:highlight w:val="cyan"/>
          <w:lang w:val="en-US" w:eastAsia="bg-BG"/>
        </w:rPr>
        <w:t>5</w:t>
      </w:r>
      <w:r w:rsidR="00612CAB">
        <w:rPr>
          <w:rFonts w:ascii="Times New Roman" w:hAnsi="Times New Roman"/>
          <w:b/>
          <w:sz w:val="24"/>
          <w:szCs w:val="24"/>
          <w:highlight w:val="cyan"/>
          <w:lang w:eastAsia="bg-BG"/>
        </w:rPr>
        <w:t>% (пет процента)</w:t>
      </w:r>
      <w:r w:rsidR="00612CAB">
        <w:rPr>
          <w:rFonts w:ascii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bg-BG"/>
        </w:rPr>
        <w:t>от цената за обекта, за който е участвал</w:t>
      </w:r>
      <w:r>
        <w:rPr>
          <w:rFonts w:ascii="Times New Roman" w:hAnsi="Times New Roman"/>
          <w:b/>
          <w:sz w:val="24"/>
          <w:szCs w:val="24"/>
          <w:lang w:eastAsia="bg-BG"/>
        </w:rPr>
        <w:t>;</w:t>
      </w:r>
      <w:r w:rsidR="00767DD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посметка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наТП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„ДЛС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BAN: </w:t>
      </w:r>
      <w:r>
        <w:rPr>
          <w:rFonts w:ascii="Times New Roman" w:hAnsi="Times New Roman"/>
          <w:b/>
          <w:sz w:val="24"/>
          <w:szCs w:val="24"/>
          <w:lang w:val="en-US" w:bidi="en-US"/>
        </w:rPr>
        <w:t>BG98 DEMI 9240 1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000 1525 05, BIC: </w:t>
      </w:r>
      <w:r>
        <w:rPr>
          <w:rFonts w:ascii="Times New Roman" w:hAnsi="Times New Roman"/>
          <w:b/>
          <w:sz w:val="24"/>
          <w:szCs w:val="24"/>
          <w:lang w:val="en-US" w:bidi="en-US"/>
        </w:rPr>
        <w:t>DEMI BGSF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Търговска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„Д” АД</w:t>
      </w:r>
      <w:r>
        <w:rPr>
          <w:rFonts w:ascii="Times New Roman" w:hAnsi="Times New Roman"/>
          <w:b/>
          <w:sz w:val="24"/>
          <w:szCs w:val="24"/>
          <w:lang w:eastAsia="bg-BG"/>
        </w:rPr>
        <w:t>, клон: Шумен, офис: с. Венец.</w:t>
      </w:r>
    </w:p>
    <w:p w:rsidR="00C75306" w:rsidRDefault="00ED23D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Документите по т. 1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представя и оригинала за сравнение.</w:t>
      </w:r>
    </w:p>
    <w:p w:rsidR="00C75306" w:rsidRDefault="00ED23DE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парични задължения към „Североизточно държавно предприятие” ДП – гр. Шумен, установени с влязъл в сила акт на компетентен държавен орган, с едномесечен срок на валидност (чл. 35, ал. 7 от Наредбата).</w:t>
      </w:r>
    </w:p>
    <w:p w:rsidR="00C75306" w:rsidRDefault="00C75306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val="en-US" w:eastAsia="bg-BG"/>
        </w:rPr>
      </w:pPr>
    </w:p>
    <w:p w:rsidR="00C75306" w:rsidRDefault="00ED23DE">
      <w:pPr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ХІ. ОСВОБОЖДАВАНЕ НА ГАРАНЦИИТЕ ЗА УЧАСТИЕ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75306" w:rsidRDefault="00ED23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75306" w:rsidRDefault="00C7530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C75306" w:rsidRDefault="00ED23D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XII</w:t>
      </w:r>
      <w:r>
        <w:rPr>
          <w:rFonts w:ascii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75306" w:rsidRDefault="00C7530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C75306" w:rsidRDefault="00ED23D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XIII</w:t>
      </w:r>
      <w:r>
        <w:rPr>
          <w:rFonts w:ascii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75306" w:rsidRDefault="00ED23D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>
        <w:rPr>
          <w:rFonts w:ascii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sectPr w:rsidR="00C75306">
      <w:headerReference w:type="default" r:id="rId11"/>
      <w:headerReference w:type="first" r:id="rId12"/>
      <w:pgSz w:w="11906" w:h="16838"/>
      <w:pgMar w:top="606" w:right="1080" w:bottom="1258" w:left="1080" w:header="227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C0" w:rsidRDefault="00C348C0">
      <w:pPr>
        <w:spacing w:after="0" w:line="240" w:lineRule="auto"/>
      </w:pPr>
      <w:r>
        <w:separator/>
      </w:r>
    </w:p>
  </w:endnote>
  <w:endnote w:type="continuationSeparator" w:id="0">
    <w:p w:rsidR="00C348C0" w:rsidRDefault="00C3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Arial"/>
    <w:charset w:val="CC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imbus Roman No9 L;Times New R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C0" w:rsidRDefault="00C348C0">
      <w:pPr>
        <w:spacing w:after="0" w:line="240" w:lineRule="auto"/>
      </w:pPr>
      <w:r>
        <w:separator/>
      </w:r>
    </w:p>
  </w:footnote>
  <w:footnote w:type="continuationSeparator" w:id="0">
    <w:p w:rsidR="00C348C0" w:rsidRDefault="00C3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06" w:rsidRDefault="00C75306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06" w:rsidRDefault="00C753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CD6"/>
    <w:multiLevelType w:val="multilevel"/>
    <w:tmpl w:val="03C61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5B33CF"/>
    <w:multiLevelType w:val="multilevel"/>
    <w:tmpl w:val="A07422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06"/>
    <w:rsid w:val="00041CB0"/>
    <w:rsid w:val="00122578"/>
    <w:rsid w:val="00126D7B"/>
    <w:rsid w:val="00156FD8"/>
    <w:rsid w:val="00170EC7"/>
    <w:rsid w:val="00240D5E"/>
    <w:rsid w:val="0026342A"/>
    <w:rsid w:val="002E0CD3"/>
    <w:rsid w:val="002E4A54"/>
    <w:rsid w:val="004D0A42"/>
    <w:rsid w:val="00612CAB"/>
    <w:rsid w:val="006D00D0"/>
    <w:rsid w:val="007027F7"/>
    <w:rsid w:val="00767DD2"/>
    <w:rsid w:val="007C6CCB"/>
    <w:rsid w:val="009F0771"/>
    <w:rsid w:val="00A3487D"/>
    <w:rsid w:val="00A716F4"/>
    <w:rsid w:val="00C2288B"/>
    <w:rsid w:val="00C249D2"/>
    <w:rsid w:val="00C348C0"/>
    <w:rsid w:val="00C75306"/>
    <w:rsid w:val="00CA5F24"/>
    <w:rsid w:val="00CC18D3"/>
    <w:rsid w:val="00D0032B"/>
    <w:rsid w:val="00D65647"/>
    <w:rsid w:val="00DC06C0"/>
    <w:rsid w:val="00E45CC5"/>
    <w:rsid w:val="00ED23DE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755A58-857F-4330-9059-457375DF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8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uiPriority w:val="99"/>
    <w:semiHidden/>
    <w:qFormat/>
    <w:locked/>
    <w:rsid w:val="00DF328E"/>
    <w:rPr>
      <w:rFonts w:cs="Times New Roman"/>
    </w:rPr>
  </w:style>
  <w:style w:type="character" w:customStyle="1" w:styleId="a4">
    <w:name w:val="Изнесен текст Знак"/>
    <w:uiPriority w:val="99"/>
    <w:semiHidden/>
    <w:qFormat/>
    <w:locked/>
    <w:rsid w:val="00DF328E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uiPriority w:val="99"/>
    <w:qFormat/>
    <w:locked/>
    <w:rsid w:val="00B31F5C"/>
    <w:rPr>
      <w:rFonts w:cs="Times New Roman"/>
    </w:rPr>
  </w:style>
  <w:style w:type="character" w:customStyle="1" w:styleId="ListLabel1">
    <w:name w:val="ListLabel 1"/>
    <w:qFormat/>
    <w:rsid w:val="00010806"/>
    <w:rPr>
      <w:rFonts w:cs="Times New Roman"/>
    </w:rPr>
  </w:style>
  <w:style w:type="character" w:customStyle="1" w:styleId="ListLabel2">
    <w:name w:val="ListLabel 2"/>
    <w:qFormat/>
    <w:rsid w:val="00010806"/>
    <w:rPr>
      <w:rFonts w:cs="Times New Roman"/>
    </w:rPr>
  </w:style>
  <w:style w:type="character" w:customStyle="1" w:styleId="ListLabel3">
    <w:name w:val="ListLabel 3"/>
    <w:qFormat/>
    <w:rsid w:val="00010806"/>
    <w:rPr>
      <w:rFonts w:cs="Times New Roman"/>
    </w:rPr>
  </w:style>
  <w:style w:type="character" w:customStyle="1" w:styleId="ListLabel4">
    <w:name w:val="ListLabel 4"/>
    <w:qFormat/>
    <w:rsid w:val="00010806"/>
    <w:rPr>
      <w:rFonts w:cs="Times New Roman"/>
    </w:rPr>
  </w:style>
  <w:style w:type="character" w:customStyle="1" w:styleId="ListLabel5">
    <w:name w:val="ListLabel 5"/>
    <w:qFormat/>
    <w:rsid w:val="00010806"/>
    <w:rPr>
      <w:rFonts w:cs="Times New Roman"/>
    </w:rPr>
  </w:style>
  <w:style w:type="character" w:customStyle="1" w:styleId="ListLabel6">
    <w:name w:val="ListLabel 6"/>
    <w:qFormat/>
    <w:rsid w:val="00010806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010806"/>
    <w:rPr>
      <w:rFonts w:cs="Times New Roman"/>
    </w:rPr>
  </w:style>
  <w:style w:type="character" w:customStyle="1" w:styleId="ListLabel8">
    <w:name w:val="ListLabel 8"/>
    <w:qFormat/>
    <w:rsid w:val="00010806"/>
    <w:rPr>
      <w:rFonts w:cs="Times New Roman"/>
    </w:rPr>
  </w:style>
  <w:style w:type="character" w:customStyle="1" w:styleId="ListLabel9">
    <w:name w:val="ListLabel 9"/>
    <w:qFormat/>
    <w:rsid w:val="00010806"/>
    <w:rPr>
      <w:rFonts w:cs="Times New Roman"/>
    </w:rPr>
  </w:style>
  <w:style w:type="character" w:customStyle="1" w:styleId="ListLabel10">
    <w:name w:val="ListLabel 10"/>
    <w:qFormat/>
    <w:rsid w:val="00010806"/>
    <w:rPr>
      <w:rFonts w:cs="Times New Roman"/>
    </w:rPr>
  </w:style>
  <w:style w:type="character" w:customStyle="1" w:styleId="ListLabel11">
    <w:name w:val="ListLabel 11"/>
    <w:qFormat/>
    <w:rsid w:val="00010806"/>
    <w:rPr>
      <w:rFonts w:cs="Times New Roman"/>
    </w:rPr>
  </w:style>
  <w:style w:type="character" w:customStyle="1" w:styleId="ListLabel12">
    <w:name w:val="ListLabel 12"/>
    <w:qFormat/>
    <w:rsid w:val="00010806"/>
    <w:rPr>
      <w:rFonts w:cs="Times New Roman"/>
    </w:rPr>
  </w:style>
  <w:style w:type="character" w:customStyle="1" w:styleId="ListLabel13">
    <w:name w:val="ListLabel 13"/>
    <w:qFormat/>
    <w:rsid w:val="00010806"/>
    <w:rPr>
      <w:rFonts w:cs="Times New Roman"/>
    </w:rPr>
  </w:style>
  <w:style w:type="character" w:customStyle="1" w:styleId="ListLabel14">
    <w:name w:val="ListLabel 14"/>
    <w:qFormat/>
    <w:rsid w:val="00010806"/>
    <w:rPr>
      <w:rFonts w:cs="Times New Roman"/>
    </w:rPr>
  </w:style>
  <w:style w:type="character" w:customStyle="1" w:styleId="ListLabel15">
    <w:name w:val="ListLabel 15"/>
    <w:qFormat/>
    <w:rsid w:val="00010806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010806"/>
    <w:rPr>
      <w:rFonts w:cs="Times New Roman"/>
    </w:rPr>
  </w:style>
  <w:style w:type="character" w:customStyle="1" w:styleId="ListLabel17">
    <w:name w:val="ListLabel 17"/>
    <w:qFormat/>
    <w:rsid w:val="00010806"/>
    <w:rPr>
      <w:rFonts w:cs="Times New Roman"/>
    </w:rPr>
  </w:style>
  <w:style w:type="character" w:customStyle="1" w:styleId="ListLabel18">
    <w:name w:val="ListLabel 18"/>
    <w:qFormat/>
    <w:rsid w:val="00010806"/>
    <w:rPr>
      <w:rFonts w:cs="Times New Roman"/>
    </w:rPr>
  </w:style>
  <w:style w:type="character" w:customStyle="1" w:styleId="ListLabel19">
    <w:name w:val="ListLabel 19"/>
    <w:qFormat/>
    <w:rsid w:val="00010806"/>
    <w:rPr>
      <w:rFonts w:cs="Times New Roman"/>
    </w:rPr>
  </w:style>
  <w:style w:type="character" w:customStyle="1" w:styleId="ListLabel20">
    <w:name w:val="ListLabel 20"/>
    <w:qFormat/>
    <w:rsid w:val="00010806"/>
    <w:rPr>
      <w:rFonts w:cs="Times New Roman"/>
    </w:rPr>
  </w:style>
  <w:style w:type="character" w:customStyle="1" w:styleId="ListLabel21">
    <w:name w:val="ListLabel 21"/>
    <w:qFormat/>
    <w:rsid w:val="00010806"/>
    <w:rPr>
      <w:rFonts w:cs="Times New Roman"/>
    </w:rPr>
  </w:style>
  <w:style w:type="character" w:customStyle="1" w:styleId="ListLabel22">
    <w:name w:val="ListLabel 22"/>
    <w:qFormat/>
    <w:rsid w:val="00010806"/>
    <w:rPr>
      <w:rFonts w:cs="Times New Roman"/>
    </w:rPr>
  </w:style>
  <w:style w:type="character" w:customStyle="1" w:styleId="ListLabel23">
    <w:name w:val="ListLabel 23"/>
    <w:qFormat/>
    <w:rsid w:val="00010806"/>
    <w:rPr>
      <w:rFonts w:cs="Times New Roman"/>
    </w:rPr>
  </w:style>
  <w:style w:type="character" w:customStyle="1" w:styleId="a6">
    <w:name w:val="Връзка към Интернет"/>
    <w:rsid w:val="00010806"/>
    <w:rPr>
      <w:color w:val="0000FF"/>
      <w:u w:val="single"/>
    </w:rPr>
  </w:style>
  <w:style w:type="character" w:customStyle="1" w:styleId="ListLabel24">
    <w:name w:val="ListLabel 24"/>
    <w:qFormat/>
    <w:rsid w:val="00010806"/>
    <w:rPr>
      <w:rFonts w:cs="Times New Roman"/>
      <w:b/>
      <w:sz w:val="24"/>
    </w:rPr>
  </w:style>
  <w:style w:type="character" w:customStyle="1" w:styleId="ListLabel25">
    <w:name w:val="ListLabel 25"/>
    <w:qFormat/>
    <w:rsid w:val="00010806"/>
    <w:rPr>
      <w:rFonts w:cs="Times New Roman"/>
    </w:rPr>
  </w:style>
  <w:style w:type="character" w:customStyle="1" w:styleId="ListLabel26">
    <w:name w:val="ListLabel 26"/>
    <w:qFormat/>
    <w:rsid w:val="00010806"/>
    <w:rPr>
      <w:rFonts w:cs="Times New Roman"/>
    </w:rPr>
  </w:style>
  <w:style w:type="character" w:customStyle="1" w:styleId="ListLabel27">
    <w:name w:val="ListLabel 27"/>
    <w:qFormat/>
    <w:rsid w:val="00010806"/>
    <w:rPr>
      <w:rFonts w:cs="Times New Roman"/>
    </w:rPr>
  </w:style>
  <w:style w:type="character" w:customStyle="1" w:styleId="ListLabel28">
    <w:name w:val="ListLabel 28"/>
    <w:qFormat/>
    <w:rsid w:val="00010806"/>
    <w:rPr>
      <w:rFonts w:cs="Times New Roman"/>
    </w:rPr>
  </w:style>
  <w:style w:type="character" w:customStyle="1" w:styleId="ListLabel29">
    <w:name w:val="ListLabel 29"/>
    <w:qFormat/>
    <w:rsid w:val="00010806"/>
    <w:rPr>
      <w:rFonts w:cs="Times New Roman"/>
    </w:rPr>
  </w:style>
  <w:style w:type="character" w:customStyle="1" w:styleId="ListLabel30">
    <w:name w:val="ListLabel 30"/>
    <w:qFormat/>
    <w:rsid w:val="00010806"/>
    <w:rPr>
      <w:rFonts w:cs="Times New Roman"/>
    </w:rPr>
  </w:style>
  <w:style w:type="character" w:customStyle="1" w:styleId="ListLabel31">
    <w:name w:val="ListLabel 31"/>
    <w:qFormat/>
    <w:rsid w:val="00010806"/>
    <w:rPr>
      <w:rFonts w:cs="Times New Roman"/>
    </w:rPr>
  </w:style>
  <w:style w:type="character" w:customStyle="1" w:styleId="ListLabel32">
    <w:name w:val="ListLabel 32"/>
    <w:qFormat/>
    <w:rsid w:val="00010806"/>
    <w:rPr>
      <w:rFonts w:cs="Times New Roman"/>
    </w:rPr>
  </w:style>
  <w:style w:type="character" w:customStyle="1" w:styleId="ListLabel33">
    <w:name w:val="ListLabel 33"/>
    <w:qFormat/>
    <w:rsid w:val="00010806"/>
    <w:rPr>
      <w:rFonts w:cs="Times New Roman"/>
      <w:b/>
      <w:sz w:val="24"/>
    </w:rPr>
  </w:style>
  <w:style w:type="character" w:customStyle="1" w:styleId="ListLabel34">
    <w:name w:val="ListLabel 34"/>
    <w:qFormat/>
    <w:rsid w:val="00010806"/>
    <w:rPr>
      <w:rFonts w:cs="Times New Roman"/>
    </w:rPr>
  </w:style>
  <w:style w:type="character" w:customStyle="1" w:styleId="ListLabel35">
    <w:name w:val="ListLabel 35"/>
    <w:qFormat/>
    <w:rsid w:val="00010806"/>
    <w:rPr>
      <w:rFonts w:cs="Times New Roman"/>
    </w:rPr>
  </w:style>
  <w:style w:type="character" w:customStyle="1" w:styleId="ListLabel36">
    <w:name w:val="ListLabel 36"/>
    <w:qFormat/>
    <w:rsid w:val="00010806"/>
    <w:rPr>
      <w:rFonts w:cs="Times New Roman"/>
    </w:rPr>
  </w:style>
  <w:style w:type="character" w:customStyle="1" w:styleId="ListLabel37">
    <w:name w:val="ListLabel 37"/>
    <w:qFormat/>
    <w:rsid w:val="00010806"/>
    <w:rPr>
      <w:rFonts w:cs="Times New Roman"/>
    </w:rPr>
  </w:style>
  <w:style w:type="character" w:customStyle="1" w:styleId="ListLabel38">
    <w:name w:val="ListLabel 38"/>
    <w:qFormat/>
    <w:rsid w:val="00010806"/>
    <w:rPr>
      <w:rFonts w:cs="Times New Roman"/>
    </w:rPr>
  </w:style>
  <w:style w:type="character" w:customStyle="1" w:styleId="ListLabel39">
    <w:name w:val="ListLabel 39"/>
    <w:qFormat/>
    <w:rsid w:val="00010806"/>
    <w:rPr>
      <w:rFonts w:cs="Times New Roman"/>
    </w:rPr>
  </w:style>
  <w:style w:type="character" w:customStyle="1" w:styleId="ListLabel40">
    <w:name w:val="ListLabel 40"/>
    <w:qFormat/>
    <w:rsid w:val="00010806"/>
    <w:rPr>
      <w:rFonts w:cs="Times New Roman"/>
    </w:rPr>
  </w:style>
  <w:style w:type="character" w:customStyle="1" w:styleId="ListLabel41">
    <w:name w:val="ListLabel 41"/>
    <w:qFormat/>
    <w:rsid w:val="00010806"/>
    <w:rPr>
      <w:rFonts w:cs="Times New Roman"/>
    </w:rPr>
  </w:style>
  <w:style w:type="character" w:customStyle="1" w:styleId="ListLabel42">
    <w:name w:val="ListLabel 42"/>
    <w:qFormat/>
    <w:rPr>
      <w:rFonts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sz w:val="24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4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  <w:sz w:val="24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/>
      <w:sz w:val="24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  <w:b/>
      <w:sz w:val="24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/>
      <w:sz w:val="24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/>
      <w:sz w:val="24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  <w:b/>
      <w:sz w:val="24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  <w:b/>
      <w:sz w:val="24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/>
      <w:sz w:val="24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  <w:b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b/>
      <w:sz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paragraph" w:customStyle="1" w:styleId="1">
    <w:name w:val="Заглавие1"/>
    <w:basedOn w:val="a"/>
    <w:next w:val="a7"/>
    <w:qFormat/>
    <w:rsid w:val="000108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010806"/>
    <w:pPr>
      <w:spacing w:after="140" w:line="288" w:lineRule="auto"/>
    </w:pPr>
  </w:style>
  <w:style w:type="paragraph" w:styleId="a8">
    <w:name w:val="List"/>
    <w:basedOn w:val="a7"/>
    <w:rsid w:val="00010806"/>
    <w:rPr>
      <w:rFonts w:cs="FreeSans"/>
    </w:rPr>
  </w:style>
  <w:style w:type="paragraph" w:styleId="a9">
    <w:name w:val="caption"/>
    <w:basedOn w:val="a"/>
    <w:qFormat/>
    <w:rsid w:val="000108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Указател"/>
    <w:basedOn w:val="a"/>
    <w:qFormat/>
    <w:rsid w:val="00010806"/>
    <w:pPr>
      <w:suppressLineNumbers/>
    </w:pPr>
    <w:rPr>
      <w:rFonts w:cs="FreeSans"/>
    </w:rPr>
  </w:style>
  <w:style w:type="paragraph" w:styleId="ab">
    <w:name w:val="header"/>
    <w:basedOn w:val="a"/>
    <w:uiPriority w:val="99"/>
    <w:semiHidden/>
    <w:rsid w:val="00DF328E"/>
    <w:pPr>
      <w:tabs>
        <w:tab w:val="center" w:pos="4536"/>
        <w:tab w:val="right" w:pos="9072"/>
      </w:tabs>
      <w:spacing w:after="0" w:line="240" w:lineRule="auto"/>
    </w:pPr>
  </w:style>
  <w:style w:type="paragraph" w:styleId="ac">
    <w:name w:val="Balloon Text"/>
    <w:basedOn w:val="a"/>
    <w:uiPriority w:val="99"/>
    <w:semiHidden/>
    <w:qFormat/>
    <w:rsid w:val="00DF3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rsid w:val="00B31F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-">
    <w:name w:val="Таблица - съдържание"/>
    <w:basedOn w:val="a"/>
    <w:qFormat/>
    <w:rsid w:val="00010806"/>
  </w:style>
  <w:style w:type="paragraph" w:customStyle="1" w:styleId="-0">
    <w:name w:val="Таблица - заглавие"/>
    <w:basedOn w:val="-"/>
    <w:qFormat/>
    <w:rsid w:val="0001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dspalama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s.palamara@dpshume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94B8-C1C2-48F3-A0F9-EE2AC036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3150</Words>
  <Characters>17958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 С Л О В И Я</vt:lpstr>
      <vt:lpstr>У С Л О В И Я</vt:lpstr>
    </vt:vector>
  </TitlesOfParts>
  <Company>Hewlett-Packard Company</Company>
  <LinksUpToDate>false</LinksUpToDate>
  <CharactersWithSpaces>21066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ZhAleksiev</dc:creator>
  <dc:description/>
  <cp:lastModifiedBy>Sidp Sidp</cp:lastModifiedBy>
  <cp:revision>113</cp:revision>
  <cp:lastPrinted>2018-03-26T08:41:00Z</cp:lastPrinted>
  <dcterms:created xsi:type="dcterms:W3CDTF">2017-08-09T12:47:00Z</dcterms:created>
  <dcterms:modified xsi:type="dcterms:W3CDTF">2018-07-17T06:40:00Z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