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rPr>
          <w:b/>
          <w:b/>
          <w:color w:val="0A4A0D"/>
          <w:sz w:val="10"/>
          <w:szCs w:val="16"/>
          <w:lang w:eastAsia="bg-BG"/>
        </w:rPr>
      </w:pPr>
      <w:r>
        <w:rPr>
          <w:b/>
          <w:color w:val="0A4A0D"/>
          <w:sz w:val="10"/>
          <w:szCs w:val="16"/>
          <w:lang w:eastAsia="bg-BG"/>
        </w:rPr>
        <w:drawing>
          <wp:anchor behindDoc="0" distT="0" distB="0" distL="114935" distR="114935" simplePos="0" locked="0" layoutInCell="1" allowOverlap="1" relativeHeight="2">
            <wp:simplePos x="0" y="0"/>
            <wp:positionH relativeFrom="column">
              <wp:posOffset>36195</wp:posOffset>
            </wp:positionH>
            <wp:positionV relativeFrom="paragraph">
              <wp:posOffset>-67945</wp:posOffset>
            </wp:positionV>
            <wp:extent cx="1050925" cy="76835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050925" cy="768350"/>
                    </a:xfrm>
                    <a:prstGeom prst="rect">
                      <a:avLst/>
                    </a:prstGeom>
                  </pic:spPr>
                </pic:pic>
              </a:graphicData>
            </a:graphic>
          </wp:anchor>
        </w:drawing>
      </w:r>
    </w:p>
    <w:p>
      <w:pPr>
        <w:pStyle w:val="Style23"/>
        <w:tabs>
          <w:tab w:val="center" w:pos="4536" w:leader="none"/>
          <w:tab w:val="center" w:pos="4703" w:leader="none"/>
          <w:tab w:val="right" w:pos="9072" w:leader="none"/>
          <w:tab w:val="right" w:pos="9406" w:leader="none"/>
          <w:tab w:val="right" w:pos="9498" w:leader="none"/>
        </w:tabs>
        <w:ind w:left="1701" w:hanging="0"/>
        <w:jc w:val="center"/>
        <w:rPr/>
      </w:pPr>
      <w:r>
        <w:rPr>
          <w:rFonts w:cs="Century Gothic" w:ascii="Century Gothic" w:hAnsi="Century Gothic"/>
          <w:b/>
          <w:color w:val="4F6228"/>
          <w:sz w:val="24"/>
          <w:szCs w:val="24"/>
        </w:rPr>
        <w:t>МИНИСТЕРСТВО НА ЗЕМЕДЕЛИЕТО</w:t>
      </w:r>
      <w:r>
        <w:rPr>
          <w:rFonts w:cs="Century Gothic" w:ascii="Century Gothic" w:hAnsi="Century Gothic"/>
          <w:b/>
          <w:color w:val="4F6228"/>
          <w:sz w:val="24"/>
          <w:szCs w:val="24"/>
          <w:lang w:val="en-US"/>
        </w:rPr>
        <w:t xml:space="preserve">, </w:t>
      </w:r>
      <w:r>
        <w:rPr>
          <w:rFonts w:cs="Century Gothic" w:ascii="Century Gothic" w:hAnsi="Century Gothic"/>
          <w:b/>
          <w:color w:val="4F6228"/>
          <w:sz w:val="24"/>
          <w:szCs w:val="24"/>
        </w:rPr>
        <w:t>ХРАНИТЕИ ГОРИТЕ</w:t>
      </w:r>
    </w:p>
    <w:p>
      <w:pPr>
        <w:pStyle w:val="Style23"/>
        <w:ind w:left="1701" w:hanging="0"/>
        <w:jc w:val="center"/>
        <w:rPr>
          <w:rFonts w:ascii="Century Gothic" w:hAnsi="Century Gothic" w:cs="Century Gothic"/>
          <w:b/>
          <w:b/>
          <w:color w:val="984806"/>
          <w:sz w:val="30"/>
          <w:szCs w:val="30"/>
        </w:rPr>
      </w:pPr>
      <w:r>
        <w:rPr>
          <w:rFonts w:cs="Century Gothic" w:ascii="Century Gothic" w:hAnsi="Century Gothic"/>
          <w:b/>
          <w:color w:val="984806"/>
          <w:sz w:val="30"/>
          <w:szCs w:val="30"/>
        </w:rPr>
        <w:t>СЕВЕРОИЗТОЧНО ДЪРЖАВНО ПРЕДПРИЯТИЕ</w:t>
      </w:r>
    </w:p>
    <w:p>
      <w:pPr>
        <w:pStyle w:val="Style23"/>
        <w:ind w:left="1701" w:hanging="0"/>
        <w:jc w:val="center"/>
        <w:rPr>
          <w:rFonts w:ascii="Century Gothic" w:hAnsi="Century Gothic" w:cs="Century Gothic"/>
          <w:b/>
          <w:b/>
          <w:color w:val="4F6228"/>
          <w:sz w:val="26"/>
          <w:szCs w:val="26"/>
        </w:rPr>
      </w:pPr>
      <w:r>
        <w:rPr>
          <w:rFonts w:cs="Century Gothic" w:ascii="Century Gothic" w:hAnsi="Century Gothic"/>
          <w:b/>
          <w:color w:val="4F6228"/>
          <w:sz w:val="26"/>
          <w:szCs w:val="26"/>
        </w:rPr>
        <w:t>ТП „ДЪРЖАВНО ЛОВНО СТОПАНСТВО ПАЛАМАРА”</w:t>
      </w:r>
    </w:p>
    <w:p>
      <w:pPr>
        <w:pStyle w:val="Style23"/>
        <w:ind w:left="1701" w:hanging="0"/>
        <w:jc w:val="center"/>
        <w:rPr>
          <w:rFonts w:ascii="Century Gothic" w:hAnsi="Century Gothic" w:cs="Century Gothic"/>
          <w:b/>
          <w:b/>
          <w:color w:val="4F6228"/>
          <w:sz w:val="26"/>
          <w:szCs w:val="26"/>
        </w:rPr>
      </w:pPr>
      <w:r>
        <w:rPr>
          <w:rFonts w:cs="Century Gothic" w:ascii="Century Gothic" w:hAnsi="Century Gothic"/>
          <w:b/>
          <w:color w:val="4F6228"/>
          <w:sz w:val="26"/>
          <w:szCs w:val="26"/>
        </w:rPr>
      </w:r>
    </w:p>
    <w:p>
      <w:pPr>
        <w:pStyle w:val="Style23"/>
        <w:jc w:val="center"/>
        <w:rPr>
          <w:rFonts w:ascii="Century Gothic" w:hAnsi="Century Gothic" w:cs="Century Gothic"/>
          <w:b/>
          <w:b/>
          <w:color w:val="4F6228"/>
          <w:sz w:val="26"/>
          <w:szCs w:val="26"/>
        </w:rPr>
      </w:pPr>
      <w:r>
        <w:rPr>
          <w:rFonts w:cs="Century Gothic" w:ascii="Century Gothic" w:hAnsi="Century Gothic"/>
          <w:b/>
          <w:color w:val="4F6228"/>
          <w:sz w:val="26"/>
          <w:szCs w:val="26"/>
        </w:rPr>
        <mc:AlternateContent>
          <mc:Choice Requires="wps">
            <w:drawing>
              <wp:anchor behindDoc="1" distT="0" distB="0" distL="114300" distR="114300" simplePos="0" locked="0" layoutInCell="1" allowOverlap="1" relativeHeight="3">
                <wp:simplePos x="0" y="0"/>
                <wp:positionH relativeFrom="column">
                  <wp:posOffset>-652780</wp:posOffset>
                </wp:positionH>
                <wp:positionV relativeFrom="paragraph">
                  <wp:posOffset>95885</wp:posOffset>
                </wp:positionV>
                <wp:extent cx="7543165" cy="11430"/>
                <wp:effectExtent l="0" t="0" r="0" b="0"/>
                <wp:wrapNone/>
                <wp:docPr id="2" name="shape_0"/>
                <a:graphic xmlns:a="http://schemas.openxmlformats.org/drawingml/2006/main">
                  <a:graphicData uri="http://schemas.microsoft.com/office/word/2010/wordprocessingShape">
                    <wps:wsp>
                      <wps:cNvSpPr/>
                      <wps:spPr>
                        <a:xfrm>
                          <a:off x="0" y="0"/>
                          <a:ext cx="7542360" cy="6840"/>
                        </a:xfrm>
                        <a:prstGeom prst="line">
                          <a:avLst/>
                        </a:prstGeom>
                        <a:ln w="19080">
                          <a:solidFill>
                            <a:srgbClr val="70ad47"/>
                          </a:solidFill>
                          <a:miter/>
                        </a:ln>
                      </wps:spPr>
                      <wps:style>
                        <a:lnRef idx="0"/>
                        <a:fillRef idx="0"/>
                        <a:effectRef idx="0"/>
                        <a:fontRef idx="minor"/>
                      </wps:style>
                      <wps:bodyPr/>
                    </wps:wsp>
                  </a:graphicData>
                </a:graphic>
              </wp:anchor>
            </w:drawing>
          </mc:Choice>
          <mc:Fallback>
            <w:pict>
              <v:line id="shape_0" from="-51.45pt,7.25pt" to="542.4pt,7.75pt" ID="shape_0" stroked="t" style="position:absolute">
                <v:stroke color="#70ad47" weight="19080" joinstyle="miter" endcap="flat"/>
                <v:fill o:detectmouseclick="t" on="false"/>
              </v:line>
            </w:pict>
          </mc:Fallback>
        </mc:AlternateContent>
      </w:r>
    </w:p>
    <w:p>
      <w:pPr>
        <w:pStyle w:val="Normal"/>
        <w:tabs>
          <w:tab w:val="left" w:pos="0" w:leader="none"/>
        </w:tabs>
        <w:spacing w:lineRule="auto" w:line="240" w:before="0" w:after="0"/>
        <w:ind w:firstLine="567"/>
        <w:jc w:val="center"/>
        <w:rPr/>
      </w:pPr>
      <w:r>
        <w:rPr>
          <w:rFonts w:cs="Nimbus Roman No9 L;Times New Ro" w:ascii="Nimbus Roman No9 L;Times New Ro" w:hAnsi="Nimbus Roman No9 L;Times New Ro"/>
          <w:b/>
          <w:sz w:val="16"/>
          <w:szCs w:val="16"/>
          <w:u w:val="single"/>
          <w:lang w:val="en-US" w:eastAsia="bg-BG"/>
        </w:rPr>
        <w:t xml:space="preserve">Адрес:  с.Венец,ПК 9751, ул.”Кирил и Методий” №17,тел.05343/2049, email: </w:t>
      </w:r>
      <w:hyperlink r:id="rId3">
        <w:r>
          <w:rPr>
            <w:rStyle w:val="Style17"/>
            <w:rFonts w:cs="Nimbus Roman No9 L;Times New Ro" w:ascii="Nimbus Roman No9 L;Times New Ro" w:hAnsi="Nimbus Roman No9 L;Times New Ro"/>
            <w:b/>
            <w:sz w:val="16"/>
            <w:szCs w:val="16"/>
            <w:lang w:val="en-US" w:eastAsia="bg-BG"/>
          </w:rPr>
          <w:t>dls.palamara@dpshumen.bg</w:t>
        </w:r>
      </w:hyperlink>
      <w:r>
        <w:rPr>
          <w:rFonts w:cs="Nimbus Roman No9 L;Times New Ro" w:ascii="Nimbus Roman No9 L;Times New Ro" w:hAnsi="Nimbus Roman No9 L;Times New Ro"/>
          <w:b/>
          <w:sz w:val="16"/>
          <w:szCs w:val="16"/>
          <w:u w:val="single"/>
          <w:lang w:val="en-US" w:eastAsia="bg-BG"/>
        </w:rPr>
        <w:t xml:space="preserve">; </w:t>
      </w:r>
      <w:hyperlink r:id="rId4">
        <w:r>
          <w:rPr>
            <w:rStyle w:val="Style17"/>
            <w:rFonts w:cs="Nimbus Roman No9 L;Times New Ro" w:ascii="Nimbus Roman No9 L;Times New Ro" w:hAnsi="Nimbus Roman No9 L;Times New Ro"/>
            <w:b/>
            <w:sz w:val="16"/>
            <w:szCs w:val="16"/>
            <w:lang w:val="en-US" w:eastAsia="bg-BG"/>
          </w:rPr>
          <w:t>ddspalamara@abv.bg</w:t>
        </w:r>
      </w:hyperlink>
    </w:p>
    <w:p>
      <w:pPr>
        <w:pStyle w:val="Normal"/>
        <w:spacing w:lineRule="auto" w:line="240" w:before="0" w:after="0"/>
        <w:ind w:firstLine="851"/>
        <w:jc w:val="center"/>
        <w:rPr>
          <w:rFonts w:ascii="Times New Roman" w:hAnsi="Times New Roman"/>
          <w:b/>
          <w:b/>
          <w:sz w:val="24"/>
          <w:szCs w:val="24"/>
          <w:u w:val="single"/>
          <w:lang w:eastAsia="bg-BG"/>
        </w:rPr>
      </w:pPr>
      <w:r>
        <w:rPr>
          <w:rFonts w:ascii="Times New Roman" w:hAnsi="Times New Roman"/>
          <w:b/>
          <w:sz w:val="24"/>
          <w:szCs w:val="24"/>
          <w:u w:val="single"/>
          <w:lang w:eastAsia="bg-BG"/>
        </w:rPr>
      </w:r>
    </w:p>
    <w:p>
      <w:pPr>
        <w:pStyle w:val="Normal"/>
        <w:spacing w:lineRule="auto" w:line="240" w:before="0" w:after="0"/>
        <w:ind w:firstLine="851"/>
        <w:jc w:val="center"/>
        <w:rPr>
          <w:rFonts w:ascii="Times New Roman" w:hAnsi="Times New Roman"/>
          <w:b/>
          <w:b/>
          <w:sz w:val="24"/>
          <w:szCs w:val="24"/>
          <w:u w:val="single"/>
          <w:lang w:eastAsia="bg-BG"/>
        </w:rPr>
      </w:pPr>
      <w:r>
        <w:rPr>
          <w:rFonts w:ascii="Times New Roman" w:hAnsi="Times New Roman"/>
          <w:b/>
          <w:sz w:val="24"/>
          <w:szCs w:val="24"/>
          <w:u w:val="single"/>
          <w:lang w:eastAsia="bg-BG"/>
        </w:rPr>
      </w:r>
    </w:p>
    <w:p>
      <w:pPr>
        <w:pStyle w:val="Normal"/>
        <w:spacing w:lineRule="auto" w:line="240" w:before="0" w:after="0"/>
        <w:ind w:firstLine="851"/>
        <w:jc w:val="center"/>
        <w:rPr>
          <w:rFonts w:ascii="Times New Roman" w:hAnsi="Times New Roman"/>
          <w:b/>
          <w:b/>
          <w:sz w:val="24"/>
          <w:szCs w:val="24"/>
          <w:u w:val="single"/>
          <w:lang w:eastAsia="bg-BG"/>
        </w:rPr>
      </w:pPr>
      <w:r>
        <w:rPr>
          <w:rFonts w:ascii="Times New Roman" w:hAnsi="Times New Roman"/>
          <w:b/>
          <w:sz w:val="24"/>
          <w:szCs w:val="24"/>
          <w:u w:val="single"/>
          <w:lang w:eastAsia="bg-BG"/>
        </w:rPr>
        <w:t>У С Л О В И Я</w:t>
      </w:r>
    </w:p>
    <w:p>
      <w:pPr>
        <w:pStyle w:val="Normal"/>
        <w:spacing w:lineRule="auto" w:line="240" w:before="0" w:after="0"/>
        <w:ind w:firstLine="851"/>
        <w:jc w:val="center"/>
        <w:rPr>
          <w:rFonts w:ascii="Times New Roman" w:hAnsi="Times New Roman"/>
          <w:b/>
          <w:b/>
          <w:sz w:val="24"/>
          <w:szCs w:val="24"/>
          <w:u w:val="single"/>
          <w:lang w:eastAsia="bg-BG"/>
        </w:rPr>
      </w:pPr>
      <w:r>
        <w:rPr>
          <w:rFonts w:ascii="Times New Roman" w:hAnsi="Times New Roman"/>
          <w:b/>
          <w:sz w:val="24"/>
          <w:szCs w:val="24"/>
          <w:u w:val="single"/>
          <w:lang w:eastAsia="bg-BG"/>
        </w:rPr>
      </w:r>
    </w:p>
    <w:p>
      <w:pPr>
        <w:pStyle w:val="Normal"/>
        <w:spacing w:lineRule="auto" w:line="240" w:before="0" w:after="0"/>
        <w:ind w:firstLine="851"/>
        <w:jc w:val="center"/>
        <w:rPr/>
      </w:pPr>
      <w:r>
        <w:rPr>
          <w:rFonts w:ascii="Times New Roman" w:hAnsi="Times New Roman"/>
          <w:b/>
          <w:sz w:val="24"/>
          <w:szCs w:val="24"/>
          <w:lang w:eastAsia="bg-BG"/>
        </w:rPr>
        <w:t>ЗА ПРОВЕЖДАНЕ НА ЕЛЕКТРОНЕН ТЪРГ ЗА ПРОДАЖБА НА ПРОГНОЗНО КОЛИЧЕСТВО ДОБИТА ДЪРВЕСИНА НА ВРЕМЕНЕН СКЛАД НА ТЕРИТОРИЯТА НА „ДЪРЖАВНО ЛОВНО СТОПАНСТВО ПАЛАМАРА“ – ТЕРИТОРИАЛНО ПОДЕЛЕНИЕ НА „СЕВЕРОИЗТОЧНО ДЪРЖАВНО ПРЕДПИРЯТИЕ ДП – ГР. ШУМЕН.</w:t>
      </w:r>
    </w:p>
    <w:p>
      <w:pPr>
        <w:pStyle w:val="Normal"/>
        <w:spacing w:lineRule="auto" w:line="240" w:before="0" w:after="0"/>
        <w:ind w:firstLine="851"/>
        <w:jc w:val="center"/>
        <w:rPr>
          <w:rFonts w:ascii="Times New Roman" w:hAnsi="Times New Roman"/>
          <w:b/>
          <w:b/>
          <w:sz w:val="24"/>
          <w:szCs w:val="24"/>
          <w:lang w:eastAsia="bg-BG"/>
        </w:rPr>
      </w:pPr>
      <w:r>
        <w:rPr>
          <w:rFonts w:ascii="Times New Roman" w:hAnsi="Times New Roman"/>
          <w:b/>
          <w:sz w:val="24"/>
          <w:szCs w:val="24"/>
          <w:lang w:eastAsia="bg-BG"/>
        </w:rPr>
      </w:r>
    </w:p>
    <w:p>
      <w:pPr>
        <w:pStyle w:val="Normal"/>
        <w:spacing w:lineRule="auto" w:line="240" w:before="0" w:after="0"/>
        <w:ind w:firstLine="851"/>
        <w:jc w:val="center"/>
        <w:rPr>
          <w:rFonts w:ascii="Times New Roman" w:hAnsi="Times New Roman"/>
          <w:b/>
          <w:b/>
          <w:sz w:val="24"/>
          <w:szCs w:val="24"/>
          <w:lang w:val="ru-RU" w:eastAsia="bg-BG"/>
        </w:rPr>
      </w:pPr>
      <w:r>
        <w:rPr>
          <w:rFonts w:ascii="Times New Roman" w:hAnsi="Times New Roman"/>
          <w:b/>
          <w:sz w:val="24"/>
          <w:szCs w:val="24"/>
          <w:lang w:eastAsia="bg-BG"/>
        </w:rPr>
        <w:t>І. ПРЕДМЕТ НА ПРОЦЕДУРАТА</w:t>
      </w:r>
    </w:p>
    <w:p>
      <w:pPr>
        <w:pStyle w:val="Normal"/>
        <w:spacing w:lineRule="auto" w:line="240" w:before="0" w:after="0"/>
        <w:ind w:firstLine="851"/>
        <w:jc w:val="both"/>
        <w:rPr/>
      </w:pPr>
      <w:r>
        <w:rPr>
          <w:rFonts w:ascii="Times New Roman" w:hAnsi="Times New Roman"/>
          <w:sz w:val="24"/>
          <w:szCs w:val="24"/>
          <w:lang w:eastAsia="bg-BG"/>
        </w:rPr>
        <w:t>1. Продажба на прогнозно количество добита дървесина, намираща се на временен склад</w:t>
      </w:r>
      <w:r>
        <w:rPr>
          <w:rFonts w:ascii="Times New Roman" w:hAnsi="Times New Roman"/>
          <w:sz w:val="24"/>
          <w:szCs w:val="24"/>
          <w:lang w:eastAsia="pl-PL"/>
        </w:rPr>
        <w:t>, чрез провеждане на електронен 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 а именно:</w:t>
      </w:r>
    </w:p>
    <w:p>
      <w:pPr>
        <w:pStyle w:val="Normal"/>
        <w:spacing w:lineRule="auto" w:line="240" w:before="0" w:after="0"/>
        <w:ind w:firstLine="851"/>
        <w:jc w:val="both"/>
        <w:rPr/>
      </w:pPr>
      <w:r>
        <w:rPr/>
      </w:r>
    </w:p>
    <w:p>
      <w:pPr>
        <w:pStyle w:val="Normal"/>
        <w:spacing w:lineRule="auto" w:line="240" w:before="0" w:after="0"/>
        <w:ind w:firstLine="851"/>
        <w:jc w:val="both"/>
        <w:rPr/>
      </w:pPr>
      <w:r>
        <w:rPr/>
      </w:r>
    </w:p>
    <w:tbl>
      <w:tblPr>
        <w:tblW w:w="9720" w:type="dxa"/>
        <w:jc w:val="left"/>
        <w:tblInd w:w="23" w:type="dxa"/>
        <w:tblBorders>
          <w:top w:val="single" w:sz="2" w:space="0" w:color="3C3C3C"/>
          <w:left w:val="single" w:sz="2" w:space="0" w:color="3C3C3C"/>
          <w:bottom w:val="single" w:sz="2" w:space="0" w:color="3C3C3C"/>
          <w:right w:val="single" w:sz="2" w:space="0" w:color="3C3C3C"/>
          <w:insideH w:val="single" w:sz="2" w:space="0" w:color="3C3C3C"/>
          <w:insideV w:val="single" w:sz="2" w:space="0" w:color="3C3C3C"/>
        </w:tblBorders>
        <w:tblCellMar>
          <w:top w:w="28" w:type="dxa"/>
          <w:left w:w="21" w:type="dxa"/>
          <w:bottom w:w="28" w:type="dxa"/>
          <w:right w:w="28" w:type="dxa"/>
        </w:tblCellMar>
        <w:tblLook w:val="04a0" w:noVBand="1" w:noHBand="0" w:lastColumn="0" w:firstColumn="1" w:lastRow="0" w:firstRow="1"/>
      </w:tblPr>
      <w:tblGrid>
        <w:gridCol w:w="818"/>
        <w:gridCol w:w="801"/>
        <w:gridCol w:w="935"/>
        <w:gridCol w:w="1951"/>
        <w:gridCol w:w="897"/>
        <w:gridCol w:w="897"/>
        <w:gridCol w:w="842"/>
        <w:gridCol w:w="912"/>
        <w:gridCol w:w="862"/>
        <w:gridCol w:w="804"/>
      </w:tblGrid>
      <w:tr>
        <w:trPr/>
        <w:tc>
          <w:tcPr>
            <w:tcW w:w="818"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Normal"/>
              <w:spacing w:before="0" w:after="160"/>
              <w:jc w:val="center"/>
              <w:rPr>
                <w:rFonts w:ascii="Arial" w:hAnsi="Arial" w:cs="Arial"/>
                <w:sz w:val="16"/>
              </w:rPr>
            </w:pPr>
            <w:r>
              <w:rPr>
                <w:rFonts w:cs="Arial" w:ascii="Arial" w:hAnsi="Arial"/>
                <w:sz w:val="16"/>
              </w:rPr>
              <w:t>Обект</w:t>
            </w:r>
          </w:p>
        </w:tc>
        <w:tc>
          <w:tcPr>
            <w:tcW w:w="80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Normal"/>
              <w:spacing w:before="0" w:after="160"/>
              <w:jc w:val="center"/>
              <w:rPr>
                <w:rFonts w:ascii="Arial" w:hAnsi="Arial" w:cs="Arial"/>
                <w:sz w:val="16"/>
              </w:rPr>
            </w:pPr>
            <w:r>
              <w:rPr>
                <w:rFonts w:cs="Arial" w:ascii="Arial" w:hAnsi="Arial"/>
                <w:sz w:val="16"/>
              </w:rPr>
              <w:t>Отдел и подотдел</w:t>
            </w:r>
          </w:p>
        </w:tc>
        <w:tc>
          <w:tcPr>
            <w:tcW w:w="935"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bottom w:w="0" w:type="dxa"/>
            </w:tcMar>
          </w:tcPr>
          <w:p>
            <w:pPr>
              <w:pStyle w:val="Normal"/>
              <w:spacing w:before="0" w:after="160"/>
              <w:jc w:val="center"/>
              <w:rPr>
                <w:rFonts w:ascii="Arial" w:hAnsi="Arial" w:cs="Arial"/>
                <w:sz w:val="16"/>
              </w:rPr>
            </w:pPr>
            <w:r>
              <w:rPr>
                <w:rFonts w:cs="Arial" w:ascii="Arial" w:hAnsi="Arial"/>
                <w:sz w:val="16"/>
              </w:rPr>
              <w:t>Дървесен вид</w:t>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Normal"/>
              <w:spacing w:before="0" w:after="160"/>
              <w:jc w:val="center"/>
              <w:rPr>
                <w:rFonts w:ascii="Arial" w:hAnsi="Arial" w:cs="Arial"/>
                <w:sz w:val="16"/>
              </w:rPr>
            </w:pPr>
            <w:r>
              <w:rPr>
                <w:rFonts w:cs="Arial" w:ascii="Arial" w:hAnsi="Arial"/>
                <w:sz w:val="16"/>
              </w:rPr>
              <w:t>Сортимент</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Normal"/>
              <w:spacing w:before="0" w:after="160"/>
              <w:jc w:val="center"/>
              <w:rPr/>
            </w:pPr>
            <w:r>
              <w:rPr>
                <w:rFonts w:cs="Arial" w:ascii="Arial" w:hAnsi="Arial"/>
                <w:sz w:val="16"/>
              </w:rPr>
              <w:t>Прогнозно количество д-на на временен склад пл.м</w:t>
            </w:r>
            <w:r>
              <w:rPr>
                <w:rFonts w:cs="Arial" w:ascii="Arial" w:hAnsi="Arial"/>
                <w:color w:val="000000"/>
                <w:sz w:val="16"/>
                <w:vertAlign w:val="superscript"/>
              </w:rPr>
              <w:t>3</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Normal"/>
              <w:spacing w:before="0" w:after="160"/>
              <w:jc w:val="center"/>
              <w:rPr/>
            </w:pPr>
            <w:r>
              <w:rPr>
                <w:rFonts w:cs="Arial" w:ascii="Arial" w:hAnsi="Arial"/>
                <w:sz w:val="16"/>
              </w:rPr>
              <w:t>Прогнозно количество д-на на временен склад пр.м</w:t>
            </w:r>
            <w:r>
              <w:rPr>
                <w:rFonts w:cs="Arial" w:ascii="Arial" w:hAnsi="Arial"/>
                <w:color w:val="000000"/>
                <w:position w:val="1"/>
                <w:sz w:val="16"/>
              </w:rPr>
              <w:t xml:space="preserve"> </w:t>
            </w:r>
            <w:r>
              <w:rPr>
                <w:rFonts w:cs="Arial" w:ascii="Arial" w:hAnsi="Arial"/>
                <w:color w:val="000000"/>
                <w:sz w:val="16"/>
                <w:vertAlign w:val="superscript"/>
              </w:rPr>
              <w:t>3</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Normal"/>
              <w:spacing w:before="0" w:after="160"/>
              <w:jc w:val="center"/>
              <w:rPr/>
            </w:pPr>
            <w:r>
              <w:rPr>
                <w:rFonts w:cs="Arial" w:ascii="Arial" w:hAnsi="Arial"/>
                <w:sz w:val="16"/>
              </w:rPr>
              <w:t>Начална ед.цена лв./пр.м</w:t>
            </w:r>
            <w:r>
              <w:rPr>
                <w:rFonts w:cs="Arial" w:ascii="Arial" w:hAnsi="Arial"/>
                <w:color w:val="000000"/>
                <w:position w:val="1"/>
                <w:sz w:val="16"/>
              </w:rPr>
              <w:t>3</w:t>
            </w:r>
            <w:r>
              <w:rPr>
                <w:rFonts w:cs="Arial" w:ascii="Arial" w:hAnsi="Arial"/>
                <w:color w:val="000000"/>
                <w:sz w:val="16"/>
              </w:rPr>
              <w:t xml:space="preserve"> без ДДС</w:t>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Normal"/>
              <w:spacing w:before="0" w:after="160"/>
              <w:jc w:val="center"/>
              <w:rPr>
                <w:rFonts w:ascii="Arial" w:hAnsi="Arial" w:cs="Arial"/>
                <w:sz w:val="16"/>
              </w:rPr>
            </w:pPr>
            <w:r>
              <w:rPr>
                <w:rFonts w:cs="Arial" w:ascii="Arial" w:hAnsi="Arial"/>
                <w:sz w:val="16"/>
              </w:rPr>
              <w:t>Обща стойност лв.без ДДС</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Normal"/>
              <w:spacing w:before="0" w:after="160"/>
              <w:jc w:val="center"/>
              <w:rPr>
                <w:rFonts w:ascii="Arial" w:hAnsi="Arial" w:cs="Arial"/>
                <w:sz w:val="16"/>
              </w:rPr>
            </w:pPr>
            <w:r>
              <w:rPr>
                <w:rFonts w:cs="Arial" w:ascii="Arial" w:hAnsi="Arial"/>
                <w:sz w:val="16"/>
              </w:rPr>
              <w:t>Стъпка на наддаване</w:t>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Normal"/>
              <w:spacing w:before="0" w:after="160"/>
              <w:jc w:val="center"/>
              <w:rPr>
                <w:rFonts w:ascii="Arial" w:hAnsi="Arial" w:cs="Arial"/>
                <w:sz w:val="16"/>
              </w:rPr>
            </w:pPr>
            <w:r>
              <w:rPr>
                <w:rFonts w:cs="Arial" w:ascii="Arial" w:hAnsi="Arial"/>
                <w:sz w:val="16"/>
              </w:rPr>
              <w:t>Гаранция за участие в лв.</w:t>
            </w:r>
          </w:p>
        </w:tc>
      </w:tr>
      <w:tr>
        <w:trPr/>
        <w:tc>
          <w:tcPr>
            <w:tcW w:w="818" w:type="dxa"/>
            <w:vMerge w:val="restart"/>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jc w:val="center"/>
              <w:rPr>
                <w:b/>
                <w:b/>
                <w:sz w:val="14"/>
              </w:rPr>
            </w:pPr>
            <w:r>
              <w:rPr>
                <w:b/>
                <w:sz w:val="14"/>
              </w:rPr>
              <w:t>1–6–2017</w:t>
            </w:r>
          </w:p>
        </w:tc>
        <w:tc>
          <w:tcPr>
            <w:tcW w:w="801" w:type="dxa"/>
            <w:vMerge w:val="restart"/>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jc w:val="center"/>
              <w:rPr>
                <w:b/>
                <w:b/>
                <w:sz w:val="14"/>
              </w:rPr>
            </w:pPr>
            <w:r>
              <w:rPr>
                <w:b/>
                <w:sz w:val="14"/>
              </w:rPr>
              <w:t>29б</w:t>
            </w:r>
          </w:p>
        </w:tc>
        <w:tc>
          <w:tcPr>
            <w:tcW w:w="935" w:type="dxa"/>
            <w:vMerge w:val="restart"/>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bottom w:w="0" w:type="dxa"/>
            </w:tcMar>
          </w:tcPr>
          <w:p>
            <w:pPr>
              <w:pStyle w:val="Style25"/>
              <w:spacing w:before="0" w:after="200"/>
              <w:jc w:val="center"/>
              <w:rPr>
                <w:sz w:val="14"/>
              </w:rPr>
            </w:pPr>
            <w:r>
              <w:rPr>
                <w:sz w:val="14"/>
              </w:rPr>
              <w:t>цр</w:t>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sz w:val="14"/>
              </w:rPr>
            </w:pPr>
            <w:r>
              <w:rPr>
                <w:sz w:val="14"/>
              </w:rPr>
              <w:t>Трупи за бичане от 18-29см</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jc w:val="center"/>
              <w:rPr>
                <w:sz w:val="14"/>
              </w:rPr>
            </w:pPr>
            <w:r>
              <w:rPr>
                <w:sz w:val="14"/>
              </w:rPr>
              <w:t>6</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6</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70,00</w:t>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420,00</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rPr>
                <w:sz w:val="14"/>
              </w:rPr>
            </w:pPr>
            <w:r>
              <w:rPr>
                <w:sz w:val="14"/>
              </w:rPr>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color w:val="FFFFFF"/>
                <w:sz w:val="14"/>
              </w:rPr>
            </w:pPr>
            <w:r>
              <w:rPr>
                <w:color w:val="FFFFFF"/>
                <w:sz w:val="14"/>
              </w:rPr>
            </w:r>
          </w:p>
        </w:tc>
      </w:tr>
      <w:tr>
        <w:trPr/>
        <w:tc>
          <w:tcPr>
            <w:tcW w:w="818"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801"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935"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bottom w:w="0" w:type="dxa"/>
            </w:tcMar>
          </w:tcPr>
          <w:p>
            <w:pPr>
              <w:pStyle w:val="Style25"/>
              <w:spacing w:before="0" w:after="200"/>
              <w:rPr>
                <w:sz w:val="4"/>
                <w:szCs w:val="4"/>
              </w:rPr>
            </w:pPr>
            <w:r>
              <w:rPr>
                <w:sz w:val="4"/>
                <w:szCs w:val="4"/>
              </w:rPr>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sz w:val="14"/>
              </w:rPr>
            </w:pPr>
            <w:r>
              <w:rPr>
                <w:sz w:val="14"/>
              </w:rPr>
              <w:t>Едра техн.дървесина</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jc w:val="center"/>
              <w:rPr>
                <w:sz w:val="14"/>
              </w:rPr>
            </w:pPr>
            <w:r>
              <w:rPr>
                <w:sz w:val="14"/>
              </w:rPr>
              <w:t>6</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10</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40,00</w:t>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400,00</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rPr>
                <w:sz w:val="14"/>
              </w:rPr>
            </w:pPr>
            <w:r>
              <w:rPr>
                <w:sz w:val="14"/>
              </w:rPr>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color w:val="FFFFFF"/>
                <w:sz w:val="14"/>
              </w:rPr>
            </w:pPr>
            <w:r>
              <w:rPr>
                <w:color w:val="FFFFFF"/>
                <w:sz w:val="14"/>
              </w:rPr>
            </w:r>
          </w:p>
        </w:tc>
      </w:tr>
      <w:tr>
        <w:trPr/>
        <w:tc>
          <w:tcPr>
            <w:tcW w:w="818"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801"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935"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bottom w:w="0" w:type="dxa"/>
            </w:tcMar>
          </w:tcPr>
          <w:p>
            <w:pPr>
              <w:pStyle w:val="Style25"/>
              <w:spacing w:before="0" w:after="200"/>
              <w:rPr>
                <w:sz w:val="4"/>
                <w:szCs w:val="4"/>
              </w:rPr>
            </w:pPr>
            <w:r>
              <w:rPr>
                <w:sz w:val="4"/>
                <w:szCs w:val="4"/>
              </w:rPr>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sz w:val="14"/>
              </w:rPr>
            </w:pPr>
            <w:r>
              <w:rPr>
                <w:sz w:val="14"/>
              </w:rPr>
              <w:t>Средна техн. дървесина</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jc w:val="center"/>
              <w:rPr>
                <w:sz w:val="14"/>
              </w:rPr>
            </w:pPr>
            <w:r>
              <w:rPr>
                <w:sz w:val="14"/>
              </w:rPr>
              <w:t>7</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12</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40,00</w:t>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480,00</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rPr>
                <w:sz w:val="14"/>
              </w:rPr>
            </w:pPr>
            <w:r>
              <w:rPr>
                <w:sz w:val="14"/>
              </w:rPr>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color w:val="FFFFFF"/>
                <w:sz w:val="14"/>
              </w:rPr>
            </w:pPr>
            <w:r>
              <w:rPr>
                <w:color w:val="FFFFFF"/>
                <w:sz w:val="14"/>
              </w:rPr>
            </w:r>
          </w:p>
        </w:tc>
      </w:tr>
      <w:tr>
        <w:trPr/>
        <w:tc>
          <w:tcPr>
            <w:tcW w:w="818"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801"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935"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bottom w:w="0" w:type="dxa"/>
            </w:tcMar>
          </w:tcPr>
          <w:p>
            <w:pPr>
              <w:pStyle w:val="Style25"/>
              <w:spacing w:before="0" w:after="200"/>
              <w:rPr>
                <w:sz w:val="4"/>
                <w:szCs w:val="4"/>
              </w:rPr>
            </w:pPr>
            <w:r>
              <w:rPr>
                <w:sz w:val="4"/>
                <w:szCs w:val="4"/>
              </w:rPr>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sz w:val="14"/>
              </w:rPr>
            </w:pPr>
            <w:r>
              <w:rPr>
                <w:sz w:val="14"/>
              </w:rPr>
              <w:t>ОЗМ</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jc w:val="center"/>
              <w:rPr>
                <w:sz w:val="14"/>
              </w:rPr>
            </w:pPr>
            <w:r>
              <w:rPr>
                <w:sz w:val="14"/>
              </w:rPr>
              <w:t>56</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56</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70,00</w:t>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3920,00</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rPr>
                <w:sz w:val="14"/>
              </w:rPr>
            </w:pPr>
            <w:r>
              <w:rPr>
                <w:sz w:val="14"/>
              </w:rPr>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color w:val="FFFFFF"/>
                <w:sz w:val="14"/>
              </w:rPr>
            </w:pPr>
            <w:r>
              <w:rPr>
                <w:color w:val="FFFFFF"/>
                <w:sz w:val="14"/>
              </w:rPr>
            </w:r>
          </w:p>
        </w:tc>
      </w:tr>
      <w:tr>
        <w:trPr/>
        <w:tc>
          <w:tcPr>
            <w:tcW w:w="818"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801"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935"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C0C0C0" w:val="clear"/>
            <w:tcMar>
              <w:left w:w="-2" w:type="dxa"/>
            </w:tcMar>
            <w:vAlign w:val="center"/>
          </w:tcPr>
          <w:p>
            <w:pPr>
              <w:pStyle w:val="Style25"/>
              <w:spacing w:before="0" w:after="200"/>
              <w:jc w:val="center"/>
              <w:rPr>
                <w:b/>
                <w:b/>
                <w:sz w:val="14"/>
              </w:rPr>
            </w:pPr>
            <w:r>
              <w:rPr>
                <w:b/>
                <w:sz w:val="14"/>
              </w:rPr>
              <w:t>ВСИЧКО</w:t>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b/>
                <w:b/>
                <w:sz w:val="14"/>
              </w:rPr>
            </w:pPr>
            <w:r>
              <w:rPr>
                <w:b/>
                <w:sz w:val="14"/>
              </w:rPr>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C0C0C0" w:val="clear"/>
            <w:tcMar>
              <w:left w:w="21" w:type="dxa"/>
            </w:tcMar>
          </w:tcPr>
          <w:p>
            <w:pPr>
              <w:pStyle w:val="Style25"/>
              <w:spacing w:before="0" w:after="200"/>
              <w:jc w:val="center"/>
              <w:rPr>
                <w:b/>
                <w:b/>
                <w:sz w:val="14"/>
              </w:rPr>
            </w:pPr>
            <w:r>
              <w:rPr>
                <w:b/>
                <w:sz w:val="14"/>
              </w:rPr>
              <w:t>75</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C0C0C0" w:val="clear"/>
            <w:tcMar>
              <w:left w:w="21" w:type="dxa"/>
            </w:tcMar>
          </w:tcPr>
          <w:p>
            <w:pPr>
              <w:pStyle w:val="Style25"/>
              <w:spacing w:before="0" w:after="200"/>
              <w:jc w:val="center"/>
              <w:rPr>
                <w:b/>
                <w:b/>
                <w:sz w:val="14"/>
              </w:rPr>
            </w:pPr>
            <w:r>
              <w:rPr>
                <w:b/>
                <w:sz w:val="14"/>
              </w:rPr>
              <w:t>84</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C0C0C0" w:val="clear"/>
            <w:tcMar>
              <w:left w:w="21" w:type="dxa"/>
            </w:tcMar>
            <w:vAlign w:val="center"/>
          </w:tcPr>
          <w:p>
            <w:pPr>
              <w:pStyle w:val="Style25"/>
              <w:spacing w:before="0" w:after="200"/>
              <w:rPr>
                <w:sz w:val="14"/>
              </w:rPr>
            </w:pPr>
            <w:r>
              <w:rPr>
                <w:sz w:val="14"/>
              </w:rPr>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C0C0C0" w:val="clear"/>
            <w:tcMar>
              <w:left w:w="21" w:type="dxa"/>
            </w:tcMar>
            <w:vAlign w:val="center"/>
          </w:tcPr>
          <w:p>
            <w:pPr>
              <w:pStyle w:val="Style25"/>
              <w:spacing w:before="0" w:after="200"/>
              <w:jc w:val="center"/>
              <w:rPr>
                <w:b/>
                <w:b/>
                <w:sz w:val="14"/>
              </w:rPr>
            </w:pPr>
            <w:r>
              <w:rPr>
                <w:b/>
                <w:sz w:val="14"/>
              </w:rPr>
              <w:t>5220,00</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rPr>
                <w:b/>
                <w:b/>
                <w:sz w:val="14"/>
              </w:rPr>
            </w:pPr>
            <w:r>
              <w:rPr>
                <w:b/>
                <w:sz w:val="14"/>
              </w:rPr>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color w:val="FFFFFF"/>
                <w:sz w:val="14"/>
              </w:rPr>
            </w:pPr>
            <w:r>
              <w:rPr>
                <w:color w:val="FFFFFF"/>
                <w:sz w:val="14"/>
              </w:rPr>
            </w:r>
          </w:p>
        </w:tc>
      </w:tr>
      <w:tr>
        <w:trPr/>
        <w:tc>
          <w:tcPr>
            <w:tcW w:w="818"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801" w:type="dxa"/>
            <w:vMerge w:val="restart"/>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jc w:val="center"/>
              <w:rPr>
                <w:b/>
                <w:b/>
                <w:sz w:val="14"/>
              </w:rPr>
            </w:pPr>
            <w:r>
              <w:rPr>
                <w:b/>
                <w:sz w:val="14"/>
              </w:rPr>
              <w:t>22а</w:t>
            </w:r>
          </w:p>
        </w:tc>
        <w:tc>
          <w:tcPr>
            <w:tcW w:w="935" w:type="dxa"/>
            <w:vMerge w:val="restart"/>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 w:type="dxa"/>
              <w:bottom w:w="0" w:type="dxa"/>
            </w:tcMar>
          </w:tcPr>
          <w:p>
            <w:pPr>
              <w:pStyle w:val="Style25"/>
              <w:spacing w:before="0" w:after="200"/>
              <w:jc w:val="center"/>
              <w:rPr>
                <w:sz w:val="14"/>
              </w:rPr>
            </w:pPr>
            <w:r>
              <w:rPr>
                <w:sz w:val="14"/>
              </w:rPr>
              <w:t>лп</w:t>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sz w:val="14"/>
              </w:rPr>
            </w:pPr>
            <w:r>
              <w:rPr>
                <w:sz w:val="14"/>
              </w:rPr>
              <w:t>Трупи за бичане от 18-29см</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jc w:val="center"/>
              <w:rPr>
                <w:sz w:val="14"/>
              </w:rPr>
            </w:pPr>
            <w:r>
              <w:rPr>
                <w:sz w:val="14"/>
              </w:rPr>
              <w:t>2</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2</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65,00</w:t>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130,00</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rPr>
                <w:b/>
                <w:b/>
                <w:sz w:val="14"/>
              </w:rPr>
            </w:pPr>
            <w:r>
              <w:rPr>
                <w:b/>
                <w:sz w:val="14"/>
              </w:rPr>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color w:val="FFFFFF"/>
                <w:sz w:val="14"/>
              </w:rPr>
            </w:pPr>
            <w:r>
              <w:rPr>
                <w:color w:val="FFFFFF"/>
                <w:sz w:val="14"/>
              </w:rPr>
            </w:r>
          </w:p>
        </w:tc>
      </w:tr>
      <w:tr>
        <w:trPr/>
        <w:tc>
          <w:tcPr>
            <w:tcW w:w="818"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801"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935"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 w:type="dxa"/>
              <w:bottom w:w="0" w:type="dxa"/>
            </w:tcMar>
          </w:tcPr>
          <w:p>
            <w:pPr>
              <w:pStyle w:val="Style25"/>
              <w:spacing w:before="0" w:after="200"/>
              <w:rPr>
                <w:sz w:val="4"/>
                <w:szCs w:val="4"/>
              </w:rPr>
            </w:pPr>
            <w:r>
              <w:rPr>
                <w:sz w:val="4"/>
                <w:szCs w:val="4"/>
              </w:rPr>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sz w:val="14"/>
              </w:rPr>
            </w:pPr>
            <w:r>
              <w:rPr>
                <w:sz w:val="14"/>
              </w:rPr>
              <w:t>Едра техн.дървесина</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jc w:val="center"/>
              <w:rPr>
                <w:sz w:val="14"/>
              </w:rPr>
            </w:pPr>
            <w:r>
              <w:rPr>
                <w:sz w:val="14"/>
              </w:rPr>
              <w:t>1</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2</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25,00</w:t>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50,00</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rPr>
                <w:b/>
                <w:b/>
                <w:sz w:val="14"/>
              </w:rPr>
            </w:pPr>
            <w:r>
              <w:rPr>
                <w:b/>
                <w:sz w:val="14"/>
              </w:rPr>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color w:val="FFFFFF"/>
                <w:sz w:val="14"/>
              </w:rPr>
            </w:pPr>
            <w:r>
              <w:rPr>
                <w:color w:val="FFFFFF"/>
                <w:sz w:val="14"/>
              </w:rPr>
            </w:r>
          </w:p>
        </w:tc>
      </w:tr>
      <w:tr>
        <w:trPr/>
        <w:tc>
          <w:tcPr>
            <w:tcW w:w="818"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801"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935"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 w:type="dxa"/>
              <w:bottom w:w="0" w:type="dxa"/>
            </w:tcMar>
          </w:tcPr>
          <w:p>
            <w:pPr>
              <w:pStyle w:val="Style25"/>
              <w:spacing w:before="0" w:after="200"/>
              <w:rPr>
                <w:sz w:val="4"/>
                <w:szCs w:val="4"/>
              </w:rPr>
            </w:pPr>
            <w:r>
              <w:rPr>
                <w:sz w:val="4"/>
                <w:szCs w:val="4"/>
              </w:rPr>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sz w:val="14"/>
              </w:rPr>
            </w:pPr>
            <w:r>
              <w:rPr>
                <w:sz w:val="14"/>
              </w:rPr>
              <w:t>Средна техн. дървесина</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jc w:val="center"/>
              <w:rPr>
                <w:sz w:val="14"/>
              </w:rPr>
            </w:pPr>
            <w:r>
              <w:rPr>
                <w:sz w:val="14"/>
              </w:rPr>
              <w:t>18</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30</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25,00</w:t>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750,00</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rPr>
                <w:b/>
                <w:b/>
                <w:sz w:val="14"/>
              </w:rPr>
            </w:pPr>
            <w:r>
              <w:rPr>
                <w:b/>
                <w:sz w:val="14"/>
              </w:rPr>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color w:val="FFFFFF"/>
                <w:sz w:val="14"/>
              </w:rPr>
            </w:pPr>
            <w:r>
              <w:rPr>
                <w:color w:val="FFFFFF"/>
                <w:sz w:val="14"/>
              </w:rPr>
            </w:r>
          </w:p>
        </w:tc>
      </w:tr>
      <w:tr>
        <w:trPr/>
        <w:tc>
          <w:tcPr>
            <w:tcW w:w="818"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801"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935"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top w:w="0" w:type="dxa"/>
              <w:left w:w="-2" w:type="dxa"/>
              <w:bottom w:w="0" w:type="dxa"/>
            </w:tcMar>
          </w:tcPr>
          <w:p>
            <w:pPr>
              <w:pStyle w:val="Style25"/>
              <w:spacing w:before="0" w:after="200"/>
              <w:rPr>
                <w:sz w:val="14"/>
              </w:rPr>
            </w:pPr>
            <w:r>
              <w:rPr>
                <w:sz w:val="14"/>
              </w:rPr>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sz w:val="14"/>
              </w:rPr>
            </w:pPr>
            <w:r>
              <w:rPr>
                <w:sz w:val="14"/>
              </w:rPr>
              <w:t>Дребна техн. дървесина</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jc w:val="center"/>
              <w:rPr>
                <w:sz w:val="14"/>
              </w:rPr>
            </w:pPr>
            <w:r>
              <w:rPr>
                <w:sz w:val="14"/>
              </w:rPr>
              <w:t>2</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3</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25,00</w:t>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75,00</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rPr>
                <w:b/>
                <w:b/>
                <w:sz w:val="14"/>
              </w:rPr>
            </w:pPr>
            <w:r>
              <w:rPr>
                <w:b/>
                <w:sz w:val="14"/>
              </w:rPr>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color w:val="FFFFFF"/>
                <w:sz w:val="14"/>
              </w:rPr>
            </w:pPr>
            <w:r>
              <w:rPr>
                <w:color w:val="FFFFFF"/>
                <w:sz w:val="14"/>
              </w:rPr>
            </w:r>
          </w:p>
        </w:tc>
      </w:tr>
      <w:tr>
        <w:trPr/>
        <w:tc>
          <w:tcPr>
            <w:tcW w:w="818"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801"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935"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top w:w="0" w:type="dxa"/>
              <w:left w:w="-2" w:type="dxa"/>
              <w:bottom w:w="0" w:type="dxa"/>
            </w:tcMar>
          </w:tcPr>
          <w:p>
            <w:pPr>
              <w:pStyle w:val="Style25"/>
              <w:spacing w:before="0" w:after="200"/>
              <w:rPr>
                <w:sz w:val="14"/>
              </w:rPr>
            </w:pPr>
            <w:r>
              <w:rPr>
                <w:sz w:val="14"/>
              </w:rPr>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sz w:val="14"/>
              </w:rPr>
            </w:pPr>
            <w:r>
              <w:rPr>
                <w:sz w:val="14"/>
              </w:rPr>
              <w:t>Дърва за огрев</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jc w:val="center"/>
              <w:rPr>
                <w:sz w:val="14"/>
              </w:rPr>
            </w:pPr>
            <w:r>
              <w:rPr>
                <w:sz w:val="14"/>
              </w:rPr>
              <w:t>133</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242</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25,00</w:t>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6050,00</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rPr>
                <w:b/>
                <w:b/>
                <w:sz w:val="14"/>
              </w:rPr>
            </w:pPr>
            <w:r>
              <w:rPr>
                <w:b/>
                <w:sz w:val="14"/>
              </w:rPr>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color w:val="FFFFFF"/>
                <w:sz w:val="14"/>
              </w:rPr>
            </w:pPr>
            <w:r>
              <w:rPr>
                <w:color w:val="FFFFFF"/>
                <w:sz w:val="14"/>
              </w:rPr>
            </w:r>
          </w:p>
        </w:tc>
      </w:tr>
      <w:tr>
        <w:trPr/>
        <w:tc>
          <w:tcPr>
            <w:tcW w:w="818"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801"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935"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top w:w="0" w:type="dxa"/>
              <w:left w:w="-2" w:type="dxa"/>
              <w:bottom w:w="0" w:type="dxa"/>
            </w:tcMar>
          </w:tcPr>
          <w:p>
            <w:pPr>
              <w:pStyle w:val="Style25"/>
              <w:spacing w:before="0" w:after="200"/>
              <w:rPr>
                <w:sz w:val="14"/>
              </w:rPr>
            </w:pPr>
            <w:r>
              <w:rPr>
                <w:sz w:val="14"/>
              </w:rPr>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sz w:val="14"/>
              </w:rPr>
            </w:pPr>
            <w:r>
              <w:rPr>
                <w:sz w:val="14"/>
              </w:rPr>
              <w:t>ОЗМ</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jc w:val="center"/>
              <w:rPr>
                <w:sz w:val="14"/>
              </w:rPr>
            </w:pPr>
            <w:r>
              <w:rPr>
                <w:sz w:val="14"/>
              </w:rPr>
              <w:t>33</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33</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55,00</w:t>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jc w:val="center"/>
              <w:rPr>
                <w:sz w:val="14"/>
              </w:rPr>
            </w:pPr>
            <w:r>
              <w:rPr>
                <w:sz w:val="14"/>
              </w:rPr>
              <w:t>1815,00</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rPr>
                <w:b/>
                <w:b/>
                <w:sz w:val="14"/>
              </w:rPr>
            </w:pPr>
            <w:r>
              <w:rPr>
                <w:b/>
                <w:sz w:val="14"/>
              </w:rPr>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color w:val="FFFFFF"/>
                <w:sz w:val="14"/>
              </w:rPr>
            </w:pPr>
            <w:r>
              <w:rPr>
                <w:color w:val="FFFFFF"/>
                <w:sz w:val="14"/>
              </w:rPr>
            </w:r>
          </w:p>
        </w:tc>
      </w:tr>
      <w:tr>
        <w:trPr/>
        <w:tc>
          <w:tcPr>
            <w:tcW w:w="818"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801"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935"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C0C0C0" w:val="clear"/>
            <w:tcMar>
              <w:left w:w="-2" w:type="dxa"/>
            </w:tcMar>
            <w:vAlign w:val="center"/>
          </w:tcPr>
          <w:p>
            <w:pPr>
              <w:pStyle w:val="Style25"/>
              <w:spacing w:before="0" w:after="200"/>
              <w:jc w:val="center"/>
              <w:rPr>
                <w:b/>
                <w:b/>
                <w:sz w:val="14"/>
              </w:rPr>
            </w:pPr>
            <w:r>
              <w:rPr>
                <w:b/>
                <w:sz w:val="14"/>
              </w:rPr>
              <w:t>ВСИЧКО</w:t>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b/>
                <w:b/>
                <w:sz w:val="14"/>
              </w:rPr>
            </w:pPr>
            <w:r>
              <w:rPr>
                <w:b/>
                <w:sz w:val="14"/>
              </w:rPr>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C0C0C0" w:val="clear"/>
            <w:tcMar>
              <w:left w:w="21" w:type="dxa"/>
            </w:tcMar>
          </w:tcPr>
          <w:p>
            <w:pPr>
              <w:pStyle w:val="Style25"/>
              <w:spacing w:before="0" w:after="200"/>
              <w:jc w:val="center"/>
              <w:rPr>
                <w:b/>
                <w:b/>
                <w:sz w:val="14"/>
              </w:rPr>
            </w:pPr>
            <w:r>
              <w:rPr>
                <w:b/>
                <w:sz w:val="14"/>
              </w:rPr>
              <w:t>189</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C0C0C0" w:val="clear"/>
            <w:tcMar>
              <w:left w:w="21" w:type="dxa"/>
            </w:tcMar>
          </w:tcPr>
          <w:p>
            <w:pPr>
              <w:pStyle w:val="Style25"/>
              <w:spacing w:before="0" w:after="200"/>
              <w:jc w:val="center"/>
              <w:rPr>
                <w:b/>
                <w:b/>
                <w:sz w:val="14"/>
              </w:rPr>
            </w:pPr>
            <w:r>
              <w:rPr>
                <w:b/>
                <w:sz w:val="14"/>
              </w:rPr>
              <w:t>312</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C0C0C0" w:val="clear"/>
            <w:tcMar>
              <w:left w:w="21" w:type="dxa"/>
            </w:tcMar>
            <w:vAlign w:val="center"/>
          </w:tcPr>
          <w:p>
            <w:pPr>
              <w:pStyle w:val="Style25"/>
              <w:spacing w:before="0" w:after="200"/>
              <w:rPr>
                <w:sz w:val="14"/>
              </w:rPr>
            </w:pPr>
            <w:r>
              <w:rPr>
                <w:sz w:val="14"/>
              </w:rPr>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C0C0C0" w:val="clear"/>
            <w:tcMar>
              <w:left w:w="21" w:type="dxa"/>
            </w:tcMar>
            <w:vAlign w:val="center"/>
          </w:tcPr>
          <w:p>
            <w:pPr>
              <w:pStyle w:val="Style25"/>
              <w:spacing w:before="0" w:after="200"/>
              <w:jc w:val="center"/>
              <w:rPr>
                <w:b/>
                <w:b/>
                <w:sz w:val="14"/>
              </w:rPr>
            </w:pPr>
            <w:r>
              <w:rPr>
                <w:b/>
                <w:sz w:val="14"/>
              </w:rPr>
              <w:t>8870,00</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vAlign w:val="center"/>
          </w:tcPr>
          <w:p>
            <w:pPr>
              <w:pStyle w:val="Style25"/>
              <w:spacing w:before="0" w:after="200"/>
              <w:rPr>
                <w:b/>
                <w:b/>
                <w:sz w:val="14"/>
              </w:rPr>
            </w:pPr>
            <w:r>
              <w:rPr>
                <w:b/>
                <w:sz w:val="14"/>
              </w:rPr>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FFFFFF" w:val="clear"/>
            <w:tcMar>
              <w:left w:w="21" w:type="dxa"/>
            </w:tcMar>
          </w:tcPr>
          <w:p>
            <w:pPr>
              <w:pStyle w:val="Style25"/>
              <w:spacing w:before="0" w:after="200"/>
              <w:rPr>
                <w:color w:val="FFFFFF"/>
                <w:sz w:val="14"/>
              </w:rPr>
            </w:pPr>
            <w:r>
              <w:rPr>
                <w:color w:val="FFFFFF"/>
                <w:sz w:val="14"/>
              </w:rPr>
            </w:r>
          </w:p>
        </w:tc>
      </w:tr>
      <w:tr>
        <w:trPr/>
        <w:tc>
          <w:tcPr>
            <w:tcW w:w="818" w:type="dxa"/>
            <w:vMerge w:val="continue"/>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auto" w:val="clear"/>
            <w:tcMar>
              <w:left w:w="21" w:type="dxa"/>
            </w:tcMar>
          </w:tcPr>
          <w:p>
            <w:pPr>
              <w:pStyle w:val="Style25"/>
              <w:spacing w:before="0" w:after="200"/>
              <w:rPr>
                <w:sz w:val="4"/>
                <w:szCs w:val="4"/>
              </w:rPr>
            </w:pPr>
            <w:r>
              <w:rPr>
                <w:sz w:val="4"/>
                <w:szCs w:val="4"/>
              </w:rPr>
            </w:r>
          </w:p>
        </w:tc>
        <w:tc>
          <w:tcPr>
            <w:tcW w:w="80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969696" w:val="clear"/>
            <w:tcMar>
              <w:left w:w="21" w:type="dxa"/>
            </w:tcMar>
          </w:tcPr>
          <w:p>
            <w:pPr>
              <w:pStyle w:val="Style25"/>
              <w:spacing w:before="0" w:after="200"/>
              <w:rPr>
                <w:b/>
                <w:b/>
                <w:sz w:val="14"/>
              </w:rPr>
            </w:pPr>
            <w:r>
              <w:rPr>
                <w:b/>
                <w:sz w:val="14"/>
              </w:rPr>
            </w:r>
          </w:p>
        </w:tc>
        <w:tc>
          <w:tcPr>
            <w:tcW w:w="935"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969696" w:val="clear"/>
            <w:tcMar>
              <w:left w:w="21" w:type="dxa"/>
              <w:right w:w="0" w:type="dxa"/>
            </w:tcMar>
            <w:vAlign w:val="center"/>
          </w:tcPr>
          <w:p>
            <w:pPr>
              <w:pStyle w:val="Style25"/>
              <w:spacing w:before="0" w:after="200"/>
              <w:rPr>
                <w:b/>
                <w:b/>
                <w:sz w:val="14"/>
              </w:rPr>
            </w:pPr>
            <w:r>
              <w:rPr>
                <w:b/>
                <w:sz w:val="14"/>
              </w:rPr>
              <w:t>ОБЩО ЗА ОБЕКТА</w:t>
            </w:r>
          </w:p>
        </w:tc>
        <w:tc>
          <w:tcPr>
            <w:tcW w:w="1951"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969696" w:val="clear"/>
            <w:tcMar>
              <w:left w:w="-2" w:type="dxa"/>
              <w:right w:w="0" w:type="dxa"/>
            </w:tcMar>
            <w:vAlign w:val="center"/>
          </w:tcPr>
          <w:p>
            <w:pPr>
              <w:pStyle w:val="Style25"/>
              <w:spacing w:before="0" w:after="200"/>
              <w:rPr>
                <w:b/>
                <w:b/>
                <w:sz w:val="14"/>
              </w:rPr>
            </w:pPr>
            <w:r>
              <w:rPr>
                <w:b/>
                <w:sz w:val="14"/>
              </w:rPr>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969696" w:val="clear"/>
            <w:tcMar>
              <w:left w:w="21" w:type="dxa"/>
            </w:tcMar>
            <w:vAlign w:val="center"/>
          </w:tcPr>
          <w:p>
            <w:pPr>
              <w:pStyle w:val="Style25"/>
              <w:spacing w:before="0" w:after="200"/>
              <w:jc w:val="center"/>
              <w:rPr>
                <w:b/>
                <w:b/>
                <w:sz w:val="14"/>
                <w:u w:val="single"/>
              </w:rPr>
            </w:pPr>
            <w:r>
              <w:rPr>
                <w:b/>
                <w:sz w:val="14"/>
                <w:u w:val="single"/>
              </w:rPr>
              <w:t>264</w:t>
            </w:r>
          </w:p>
        </w:tc>
        <w:tc>
          <w:tcPr>
            <w:tcW w:w="897"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969696" w:val="clear"/>
            <w:tcMar>
              <w:left w:w="21" w:type="dxa"/>
            </w:tcMar>
            <w:vAlign w:val="center"/>
          </w:tcPr>
          <w:p>
            <w:pPr>
              <w:pStyle w:val="Style25"/>
              <w:spacing w:before="0" w:after="200"/>
              <w:jc w:val="center"/>
              <w:rPr>
                <w:b/>
                <w:b/>
                <w:sz w:val="14"/>
                <w:u w:val="single"/>
              </w:rPr>
            </w:pPr>
            <w:r>
              <w:rPr>
                <w:b/>
                <w:sz w:val="14"/>
                <w:u w:val="single"/>
              </w:rPr>
              <w:t>396</w:t>
            </w:r>
          </w:p>
        </w:tc>
        <w:tc>
          <w:tcPr>
            <w:tcW w:w="84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969696" w:val="clear"/>
            <w:tcMar>
              <w:left w:w="21" w:type="dxa"/>
            </w:tcMar>
            <w:vAlign w:val="center"/>
          </w:tcPr>
          <w:p>
            <w:pPr>
              <w:pStyle w:val="Style25"/>
              <w:spacing w:before="0" w:after="200"/>
              <w:rPr>
                <w:b/>
                <w:b/>
                <w:sz w:val="14"/>
                <w:u w:val="single"/>
              </w:rPr>
            </w:pPr>
            <w:r>
              <w:rPr>
                <w:b/>
                <w:sz w:val="14"/>
                <w:u w:val="single"/>
              </w:rPr>
            </w:r>
          </w:p>
        </w:tc>
        <w:tc>
          <w:tcPr>
            <w:tcW w:w="91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969696" w:val="clear"/>
            <w:tcMar>
              <w:left w:w="21" w:type="dxa"/>
            </w:tcMar>
            <w:vAlign w:val="center"/>
          </w:tcPr>
          <w:p>
            <w:pPr>
              <w:pStyle w:val="Style25"/>
              <w:spacing w:before="0" w:after="200"/>
              <w:jc w:val="center"/>
              <w:rPr>
                <w:b/>
                <w:b/>
                <w:sz w:val="14"/>
                <w:u w:val="single"/>
              </w:rPr>
            </w:pPr>
            <w:r>
              <w:rPr>
                <w:b/>
                <w:sz w:val="14"/>
                <w:u w:val="single"/>
              </w:rPr>
              <w:t>14090</w:t>
            </w:r>
          </w:p>
        </w:tc>
        <w:tc>
          <w:tcPr>
            <w:tcW w:w="862"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969696" w:val="clear"/>
            <w:tcMar>
              <w:left w:w="21" w:type="dxa"/>
            </w:tcMar>
            <w:vAlign w:val="center"/>
          </w:tcPr>
          <w:p>
            <w:pPr>
              <w:pStyle w:val="Style25"/>
              <w:spacing w:before="0" w:after="200"/>
              <w:jc w:val="center"/>
              <w:rPr>
                <w:b/>
                <w:b/>
                <w:sz w:val="14"/>
                <w:u w:val="single"/>
              </w:rPr>
            </w:pPr>
            <w:r>
              <w:rPr>
                <w:b/>
                <w:sz w:val="14"/>
                <w:u w:val="single"/>
              </w:rPr>
              <w:t>141</w:t>
            </w:r>
          </w:p>
        </w:tc>
        <w:tc>
          <w:tcPr>
            <w:tcW w:w="804" w:type="dxa"/>
            <w:tcBorders>
              <w:top w:val="single" w:sz="2" w:space="0" w:color="3C3C3C"/>
              <w:left w:val="single" w:sz="2" w:space="0" w:color="3C3C3C"/>
              <w:bottom w:val="single" w:sz="2" w:space="0" w:color="3C3C3C"/>
              <w:right w:val="single" w:sz="2" w:space="0" w:color="3C3C3C"/>
              <w:insideH w:val="single" w:sz="2" w:space="0" w:color="3C3C3C"/>
              <w:insideV w:val="single" w:sz="2" w:space="0" w:color="3C3C3C"/>
            </w:tcBorders>
            <w:shd w:color="auto" w:fill="969696" w:val="clear"/>
            <w:tcMar>
              <w:left w:w="21" w:type="dxa"/>
            </w:tcMar>
            <w:vAlign w:val="center"/>
          </w:tcPr>
          <w:p>
            <w:pPr>
              <w:pStyle w:val="Style25"/>
              <w:spacing w:before="0" w:after="200"/>
              <w:jc w:val="center"/>
              <w:rPr>
                <w:b/>
                <w:b/>
                <w:sz w:val="14"/>
                <w:u w:val="single"/>
              </w:rPr>
            </w:pPr>
            <w:r>
              <w:rPr>
                <w:b/>
                <w:sz w:val="14"/>
                <w:u w:val="single"/>
              </w:rPr>
              <w:t>705</w:t>
            </w:r>
          </w:p>
        </w:tc>
      </w:tr>
    </w:tbl>
    <w:p>
      <w:pPr>
        <w:pStyle w:val="Normal"/>
        <w:spacing w:lineRule="auto" w:line="240" w:before="0" w:after="0"/>
        <w:ind w:firstLine="851"/>
        <w:jc w:val="both"/>
        <w:rPr>
          <w:rFonts w:ascii="Times New Roman" w:hAnsi="Times New Roman"/>
          <w:b/>
          <w:b/>
          <w:sz w:val="24"/>
          <w:szCs w:val="24"/>
          <w:lang w:eastAsia="bg-BG"/>
        </w:rPr>
      </w:pPr>
      <w:r>
        <w:rPr>
          <w:rFonts w:ascii="Times New Roman" w:hAnsi="Times New Roman"/>
          <w:b/>
          <w:sz w:val="24"/>
          <w:szCs w:val="24"/>
          <w:lang w:eastAsia="bg-BG"/>
        </w:rPr>
      </w:r>
    </w:p>
    <w:p>
      <w:pPr>
        <w:pStyle w:val="Normal"/>
        <w:spacing w:lineRule="auto" w:line="240" w:before="0" w:after="0"/>
        <w:ind w:firstLine="851"/>
        <w:jc w:val="both"/>
        <w:rPr>
          <w:rFonts w:ascii="Times New Roman" w:hAnsi="Times New Roman"/>
          <w:b/>
          <w:b/>
          <w:sz w:val="24"/>
          <w:szCs w:val="24"/>
          <w:lang w:eastAsia="bg-BG"/>
        </w:rPr>
      </w:pPr>
      <w:r>
        <w:rPr>
          <w:rFonts w:ascii="Times New Roman" w:hAnsi="Times New Roman"/>
          <w:b/>
          <w:sz w:val="24"/>
          <w:szCs w:val="24"/>
          <w:lang w:eastAsia="bg-BG"/>
        </w:rPr>
      </w:r>
    </w:p>
    <w:p>
      <w:pPr>
        <w:pStyle w:val="Normal"/>
        <w:spacing w:lineRule="auto" w:line="240" w:before="0" w:after="0"/>
        <w:ind w:firstLine="851"/>
        <w:jc w:val="both"/>
        <w:rPr>
          <w:rFonts w:ascii="Times New Roman" w:hAnsi="Times New Roman"/>
          <w:b/>
          <w:b/>
          <w:sz w:val="24"/>
          <w:szCs w:val="24"/>
          <w:lang w:eastAsia="bg-BG"/>
        </w:rPr>
      </w:pPr>
      <w:r>
        <w:rPr>
          <w:rFonts w:ascii="Times New Roman" w:hAnsi="Times New Roman"/>
          <w:b/>
          <w:sz w:val="24"/>
          <w:szCs w:val="24"/>
          <w:lang w:eastAsia="bg-BG"/>
        </w:rPr>
      </w:r>
    </w:p>
    <w:p>
      <w:pPr>
        <w:pStyle w:val="Normal"/>
        <w:spacing w:lineRule="auto" w:line="240" w:before="0" w:after="0"/>
        <w:ind w:firstLine="851"/>
        <w:jc w:val="both"/>
        <w:rPr/>
      </w:pPr>
      <w:r>
        <w:rPr>
          <w:rFonts w:ascii="Times New Roman" w:hAnsi="Times New Roman"/>
          <w:b/>
          <w:sz w:val="24"/>
          <w:szCs w:val="24"/>
          <w:lang w:eastAsia="bg-BG"/>
        </w:rPr>
        <w:t>II. ВРЕМЕ И МЯСТО НА ПРОВЕЖДАНЕ НА ТЪРГА:</w:t>
      </w:r>
    </w:p>
    <w:p>
      <w:pPr>
        <w:pStyle w:val="Normal"/>
        <w:spacing w:lineRule="auto" w:line="240" w:before="0" w:after="0"/>
        <w:ind w:firstLine="851"/>
        <w:jc w:val="both"/>
        <w:rPr>
          <w:rFonts w:ascii="Times New Roman" w:hAnsi="Times New Roman"/>
          <w:b/>
          <w:b/>
          <w:sz w:val="24"/>
          <w:szCs w:val="24"/>
          <w:lang w:eastAsia="bg-BG"/>
        </w:rPr>
      </w:pPr>
      <w:r>
        <w:rPr>
          <w:rFonts w:ascii="Times New Roman" w:hAnsi="Times New Roman"/>
          <w:b/>
          <w:sz w:val="24"/>
          <w:szCs w:val="24"/>
          <w:lang w:eastAsia="bg-BG"/>
        </w:rPr>
      </w:r>
    </w:p>
    <w:p>
      <w:pPr>
        <w:pStyle w:val="Normal"/>
        <w:tabs>
          <w:tab w:val="left" w:pos="0" w:leader="none"/>
        </w:tabs>
        <w:spacing w:lineRule="auto" w:line="240" w:before="0" w:after="0"/>
        <w:ind w:firstLine="851"/>
        <w:jc w:val="both"/>
        <w:rPr/>
      </w:pPr>
      <w:r>
        <w:rPr>
          <w:rFonts w:ascii="Times New Roman" w:hAnsi="Times New Roman"/>
          <w:sz w:val="24"/>
          <w:szCs w:val="24"/>
          <w:lang w:eastAsia="bg-BG"/>
        </w:rPr>
        <w:t xml:space="preserve">1. Електронният Търг ще се проведе </w:t>
      </w:r>
      <w:r>
        <w:rPr>
          <w:rFonts w:ascii="Times New Roman" w:hAnsi="Times New Roman"/>
          <w:b/>
          <w:sz w:val="24"/>
          <w:szCs w:val="24"/>
          <w:highlight w:val="yellow"/>
          <w:u w:val="single"/>
          <w:lang w:eastAsia="bg-BG"/>
        </w:rPr>
        <w:t xml:space="preserve">на </w:t>
      </w:r>
      <w:r>
        <w:rPr>
          <w:rFonts w:ascii="Times New Roman" w:hAnsi="Times New Roman"/>
          <w:b/>
          <w:sz w:val="24"/>
          <w:szCs w:val="24"/>
          <w:highlight w:val="yellow"/>
          <w:u w:val="single"/>
          <w:lang w:eastAsia="bg-BG"/>
        </w:rPr>
        <w:t>22</w:t>
      </w:r>
      <w:r>
        <w:rPr>
          <w:rFonts w:ascii="Times New Roman" w:hAnsi="Times New Roman"/>
          <w:b/>
          <w:sz w:val="24"/>
          <w:szCs w:val="24"/>
          <w:highlight w:val="yellow"/>
          <w:u w:val="single"/>
          <w:lang w:eastAsia="bg-BG"/>
        </w:rPr>
        <w:t>.11.2017 г. с начален час 10:30 часа и край на наддаването в 10:</w:t>
      </w:r>
      <w:r>
        <w:rPr>
          <w:rFonts w:ascii="Times New Roman" w:hAnsi="Times New Roman"/>
          <w:b/>
          <w:sz w:val="24"/>
          <w:szCs w:val="24"/>
          <w:highlight w:val="yellow"/>
          <w:u w:val="single"/>
          <w:lang w:val="en-US" w:eastAsia="bg-BG"/>
        </w:rPr>
        <w:t>40</w:t>
      </w:r>
      <w:r>
        <w:rPr>
          <w:rFonts w:ascii="Times New Roman" w:hAnsi="Times New Roman"/>
          <w:b/>
          <w:sz w:val="24"/>
          <w:szCs w:val="24"/>
          <w:highlight w:val="yellow"/>
          <w:u w:val="single"/>
          <w:lang w:eastAsia="bg-BG"/>
        </w:rPr>
        <w:t xml:space="preserve"> часа</w:t>
      </w:r>
      <w:r>
        <w:rPr>
          <w:rFonts w:ascii="Times New Roman" w:hAnsi="Times New Roman"/>
          <w:sz w:val="24"/>
          <w:szCs w:val="24"/>
          <w:lang w:eastAsia="bg-BG"/>
        </w:rPr>
        <w:t xml:space="preserve"> в интернет платформата на СИДП ДП – гр. Шумен, с електронен адрес: </w:t>
      </w:r>
      <w:r>
        <w:rPr>
          <w:rFonts w:ascii="Times New Roman" w:hAnsi="Times New Roman"/>
          <w:b/>
          <w:sz w:val="24"/>
          <w:szCs w:val="24"/>
          <w:lang w:eastAsia="bg-BG"/>
        </w:rPr>
        <w:t>https://sale.uslugi.io/sidp</w:t>
      </w:r>
    </w:p>
    <w:p>
      <w:pPr>
        <w:pStyle w:val="Normal"/>
        <w:tabs>
          <w:tab w:val="left" w:pos="0" w:leader="none"/>
        </w:tabs>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t>ВРЕМЕВИ ИНТЕРВАЛ ЗА ОБЯВЯВАНЕ НА НАДДАВАТЕЛНИ ПРЕДЛОЖЕНИЯ Е 10 /ДЕСЕТ /МИНУТИ</w:t>
      </w:r>
      <w:r>
        <w:rPr>
          <w:rFonts w:ascii="Times New Roman" w:hAnsi="Times New Roman"/>
          <w:sz w:val="24"/>
          <w:szCs w:val="24"/>
          <w:lang w:val="en-US" w:eastAsia="bg-BG"/>
        </w:rPr>
        <w:t xml:space="preserve">, </w:t>
      </w:r>
      <w:r>
        <w:rPr>
          <w:rFonts w:ascii="Times New Roman" w:hAnsi="Times New Roman"/>
          <w:sz w:val="24"/>
          <w:szCs w:val="24"/>
          <w:lang w:eastAsia="bg-BG"/>
        </w:rPr>
        <w:t>КОЙТО МОЖЕ ДА СЕ УДЪЛЖИ С ДО 5 МИНУТИ.</w:t>
      </w:r>
    </w:p>
    <w:p>
      <w:pPr>
        <w:pStyle w:val="Normal"/>
        <w:tabs>
          <w:tab w:val="left" w:pos="0" w:leader="none"/>
        </w:tabs>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pPr>
        <w:pStyle w:val="Normal"/>
        <w:tabs>
          <w:tab w:val="left" w:pos="0" w:leader="none"/>
        </w:tabs>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5 /ПЕТ/ ПЪТИ.</w:t>
      </w:r>
    </w:p>
    <w:p>
      <w:pPr>
        <w:pStyle w:val="Normal"/>
        <w:tabs>
          <w:tab w:val="left" w:pos="0" w:leader="none"/>
        </w:tabs>
        <w:spacing w:lineRule="auto" w:line="240" w:before="0" w:after="0"/>
        <w:ind w:firstLine="851"/>
        <w:jc w:val="both"/>
        <w:rPr/>
      </w:pPr>
      <w:r>
        <w:rPr>
          <w:rFonts w:ascii="Times New Roman" w:hAnsi="Times New Roman"/>
          <w:b/>
          <w:sz w:val="24"/>
          <w:szCs w:val="24"/>
          <w:u w:val="single"/>
          <w:lang w:eastAsia="bg-BG"/>
        </w:rPr>
        <w:t xml:space="preserve">ЗАБЕЛЕЖКА: </w:t>
      </w:r>
      <w:r>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pPr>
        <w:pStyle w:val="Normal"/>
        <w:tabs>
          <w:tab w:val="left" w:pos="0" w:leader="none"/>
        </w:tabs>
        <w:spacing w:lineRule="auto" w:line="240" w:before="0" w:after="0"/>
        <w:ind w:firstLine="851"/>
        <w:jc w:val="both"/>
        <w:rPr>
          <w:rFonts w:ascii="Times New Roman" w:hAnsi="Times New Roman"/>
          <w:sz w:val="24"/>
          <w:szCs w:val="24"/>
          <w:highlight w:val="yellow"/>
          <w:lang w:eastAsia="bg-BG"/>
        </w:rPr>
      </w:pPr>
      <w:r>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pPr>
        <w:pStyle w:val="Normal"/>
        <w:tabs>
          <w:tab w:val="left" w:pos="0" w:leader="none"/>
        </w:tabs>
        <w:spacing w:lineRule="auto" w:line="240" w:before="0" w:after="0"/>
        <w:ind w:firstLine="851"/>
        <w:jc w:val="both"/>
        <w:rPr>
          <w:rFonts w:ascii="Times New Roman" w:hAnsi="Times New Roman"/>
          <w:sz w:val="24"/>
          <w:szCs w:val="24"/>
          <w:highlight w:val="yellow"/>
          <w:lang w:eastAsia="bg-BG"/>
        </w:rPr>
      </w:pPr>
      <w:r>
        <w:rPr>
          <w:rFonts w:ascii="Times New Roman" w:hAnsi="Times New Roman"/>
          <w:sz w:val="24"/>
          <w:szCs w:val="24"/>
          <w:highlight w:val="yellow"/>
          <w:lang w:eastAsia="bg-BG"/>
        </w:rPr>
      </w:r>
    </w:p>
    <w:p>
      <w:pPr>
        <w:pStyle w:val="Normal"/>
        <w:tabs>
          <w:tab w:val="left" w:pos="0" w:leader="none"/>
        </w:tabs>
        <w:spacing w:lineRule="auto" w:line="240" w:before="0" w:after="0"/>
        <w:ind w:firstLine="851"/>
        <w:jc w:val="center"/>
        <w:rPr>
          <w:rFonts w:ascii="Times New Roman" w:hAnsi="Times New Roman"/>
          <w:b/>
          <w:b/>
          <w:sz w:val="24"/>
          <w:szCs w:val="24"/>
          <w:lang w:eastAsia="bg-BG"/>
        </w:rPr>
      </w:pPr>
      <w:r>
        <w:rPr>
          <w:rFonts w:ascii="Times New Roman" w:hAnsi="Times New Roman"/>
          <w:b/>
          <w:sz w:val="24"/>
          <w:szCs w:val="24"/>
          <w:lang w:eastAsia="bg-BG"/>
        </w:rPr>
        <w:t>III. ВРЕМЕ И НАЧИН ЗА ОГЛЕД НА ДЪРВЕСИНАТА:</w:t>
      </w:r>
    </w:p>
    <w:p>
      <w:pPr>
        <w:pStyle w:val="Normal"/>
        <w:spacing w:lineRule="auto" w:line="240" w:before="0" w:after="0"/>
        <w:ind w:firstLine="851"/>
        <w:jc w:val="both"/>
        <w:rPr/>
      </w:pPr>
      <w:r>
        <w:rPr>
          <w:rFonts w:ascii="Times New Roman" w:hAnsi="Times New Roman"/>
          <w:b/>
          <w:sz w:val="24"/>
          <w:szCs w:val="24"/>
          <w:lang w:eastAsia="bg-BG"/>
        </w:rPr>
        <w:t xml:space="preserve">1. </w:t>
      </w:r>
      <w:r>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t>Разходите за огледа са за сметка на кандидата.</w:t>
      </w:r>
    </w:p>
    <w:p>
      <w:pPr>
        <w:pStyle w:val="Normal"/>
        <w:spacing w:lineRule="auto" w:line="240" w:before="0" w:after="0"/>
        <w:ind w:firstLine="851"/>
        <w:jc w:val="both"/>
        <w:rPr>
          <w:rFonts w:ascii="Times New Roman" w:hAnsi="Times New Roman"/>
          <w:b/>
          <w:b/>
          <w:sz w:val="24"/>
          <w:szCs w:val="24"/>
          <w:lang w:eastAsia="bg-BG"/>
        </w:rPr>
      </w:pPr>
      <w:r>
        <w:rPr>
          <w:rFonts w:ascii="Times New Roman" w:hAnsi="Times New Roman"/>
          <w:b/>
          <w:sz w:val="24"/>
          <w:szCs w:val="24"/>
          <w:lang w:eastAsia="bg-BG"/>
        </w:rPr>
        <w:t>Огледът на обекта не е задължителен и не е условие за участие в електронния търг.</w:t>
      </w:r>
    </w:p>
    <w:p>
      <w:pPr>
        <w:pStyle w:val="Normal"/>
        <w:tabs>
          <w:tab w:val="left" w:pos="0" w:leader="none"/>
        </w:tabs>
        <w:spacing w:lineRule="auto" w:line="240" w:before="0" w:after="0"/>
        <w:ind w:firstLine="851"/>
        <w:jc w:val="both"/>
        <w:rPr>
          <w:rFonts w:ascii="Times New Roman" w:hAnsi="Times New Roman"/>
          <w:b/>
          <w:b/>
          <w:sz w:val="24"/>
          <w:szCs w:val="24"/>
          <w:lang w:eastAsia="bg-BG"/>
        </w:rPr>
      </w:pPr>
      <w:r>
        <w:rPr>
          <w:rFonts w:ascii="Times New Roman" w:hAnsi="Times New Roman"/>
          <w:b/>
          <w:sz w:val="24"/>
          <w:szCs w:val="24"/>
          <w:lang w:eastAsia="bg-BG"/>
        </w:rPr>
      </w:r>
    </w:p>
    <w:p>
      <w:pPr>
        <w:pStyle w:val="Normal"/>
        <w:spacing w:lineRule="auto" w:line="240" w:before="0" w:after="0"/>
        <w:ind w:firstLine="851"/>
        <w:jc w:val="center"/>
        <w:rPr>
          <w:rFonts w:ascii="Times New Roman" w:hAnsi="Times New Roman"/>
          <w:b/>
          <w:b/>
          <w:sz w:val="24"/>
          <w:szCs w:val="24"/>
          <w:lang w:eastAsia="bg-BG"/>
        </w:rPr>
      </w:pPr>
      <w:r>
        <w:rPr>
          <w:rFonts w:ascii="Times New Roman" w:hAnsi="Times New Roman"/>
          <w:b/>
          <w:sz w:val="24"/>
          <w:szCs w:val="24"/>
          <w:lang w:eastAsia="bg-BG"/>
        </w:rPr>
        <w:t>ІV. ГАРАНЦИ И СРОКОВЕ ЗА ПОДАВАНЕ НА ДОКУМЕНТИ</w:t>
      </w:r>
    </w:p>
    <w:p>
      <w:pPr>
        <w:pStyle w:val="Normal"/>
        <w:numPr>
          <w:ilvl w:val="0"/>
          <w:numId w:val="1"/>
        </w:numPr>
        <w:spacing w:lineRule="auto" w:line="240" w:before="0" w:after="0"/>
        <w:ind w:left="0" w:firstLine="851"/>
        <w:jc w:val="both"/>
        <w:rPr/>
      </w:pPr>
      <w:r>
        <w:rPr>
          <w:rFonts w:ascii="Times New Roman" w:hAnsi="Times New Roman"/>
          <w:sz w:val="24"/>
          <w:szCs w:val="24"/>
          <w:lang w:eastAsia="pl-PL"/>
        </w:rPr>
        <w:t xml:space="preserve">Гаранцията за участие за електронния търг </w:t>
      </w:r>
      <w:r>
        <w:rPr>
          <w:rFonts w:ascii="Times New Roman" w:hAnsi="Times New Roman"/>
          <w:b/>
          <w:sz w:val="24"/>
          <w:szCs w:val="24"/>
          <w:lang w:eastAsia="pl-PL"/>
        </w:rPr>
        <w:t>е посочена в таблицата по-горе.</w:t>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ind w:firstLine="851"/>
        <w:jc w:val="both"/>
        <w:rPr>
          <w:rFonts w:ascii="Times New Roman" w:hAnsi="Times New Roman"/>
          <w:sz w:val="24"/>
          <w:szCs w:val="24"/>
          <w:lang w:eastAsia="pl-PL"/>
        </w:rPr>
      </w:pPr>
      <w:r>
        <w:rPr>
          <w:rFonts w:ascii="Times New Roman" w:hAnsi="Times New Roman"/>
          <w:sz w:val="24"/>
          <w:szCs w:val="24"/>
          <w:lang w:eastAsia="pl-PL"/>
        </w:rPr>
        <w:t>Размерът на гаранцията за участие представлява абсолютна сума в размер на 5</w:t>
      </w:r>
      <w:r>
        <w:rPr>
          <w:rFonts w:ascii="Times New Roman" w:hAnsi="Times New Roman"/>
          <w:b/>
          <w:sz w:val="24"/>
          <w:szCs w:val="24"/>
          <w:lang w:eastAsia="pl-PL"/>
        </w:rPr>
        <w:t xml:space="preserve"> % (</w:t>
      </w:r>
      <w:r>
        <w:rPr>
          <w:rFonts w:ascii="Times New Roman" w:hAnsi="Times New Roman"/>
          <w:sz w:val="24"/>
          <w:szCs w:val="24"/>
          <w:lang w:eastAsia="pl-PL"/>
        </w:rPr>
        <w:t xml:space="preserve">пет процента) от стойността на обекта – предмет на търга. </w:t>
      </w:r>
    </w:p>
    <w:p>
      <w:pPr>
        <w:pStyle w:val="Normal"/>
        <w:spacing w:lineRule="auto" w:line="240" w:before="0" w:after="0"/>
        <w:ind w:firstLine="851"/>
        <w:jc w:val="both"/>
        <w:rPr/>
      </w:pPr>
      <w:r>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Pr>
          <w:rFonts w:ascii="Times New Roman" w:hAnsi="Times New Roman"/>
          <w:b/>
          <w:sz w:val="24"/>
          <w:szCs w:val="24"/>
          <w:lang w:eastAsia="bg-BG"/>
        </w:rPr>
        <w:t>по банков път по сметка</w:t>
      </w:r>
      <w:r>
        <w:rPr>
          <w:rFonts w:ascii="Times New Roman" w:hAnsi="Times New Roman"/>
          <w:sz w:val="24"/>
          <w:szCs w:val="24"/>
          <w:lang w:eastAsia="bg-BG"/>
        </w:rPr>
        <w:t xml:space="preserve"> на ТП „ДЛС Паламара”, а именно:</w:t>
      </w:r>
    </w:p>
    <w:p>
      <w:pPr>
        <w:pStyle w:val="Normal"/>
        <w:spacing w:lineRule="auto" w:line="240" w:before="0" w:after="0"/>
        <w:ind w:firstLine="851"/>
        <w:jc w:val="both"/>
        <w:rPr/>
      </w:pPr>
      <w:r>
        <w:rPr>
          <w:rFonts w:eastAsia="Times New Roman" w:ascii="Times New Roman" w:hAnsi="Times New Roman"/>
          <w:b/>
          <w:bCs/>
          <w:sz w:val="24"/>
          <w:szCs w:val="24"/>
          <w:lang w:val="ru-RU" w:eastAsia="bg-BG"/>
        </w:rPr>
        <w:t>I</w:t>
      </w:r>
      <w:r>
        <w:rPr>
          <w:rFonts w:eastAsia="Times New Roman" w:ascii="Times New Roman" w:hAnsi="Times New Roman"/>
          <w:b/>
          <w:bCs/>
          <w:sz w:val="24"/>
          <w:szCs w:val="24"/>
          <w:lang w:val="en-US" w:eastAsia="bg-BG"/>
        </w:rPr>
        <w:t xml:space="preserve">BAN: </w:t>
      </w:r>
      <w:r>
        <w:rPr>
          <w:rFonts w:eastAsia="Times New Roman" w:ascii="Times New Roman" w:hAnsi="Times New Roman"/>
          <w:b/>
          <w:bCs/>
          <w:sz w:val="24"/>
          <w:szCs w:val="24"/>
          <w:lang w:val="en-US" w:bidi="en-US"/>
        </w:rPr>
        <w:t>BG98 DEMI 9240 1</w:t>
      </w:r>
      <w:r>
        <w:rPr>
          <w:rFonts w:eastAsia="Times New Roman" w:ascii="Times New Roman" w:hAnsi="Times New Roman"/>
          <w:b/>
          <w:bCs/>
          <w:sz w:val="24"/>
          <w:szCs w:val="24"/>
          <w:lang w:val="en-US" w:eastAsia="bg-BG"/>
        </w:rPr>
        <w:t xml:space="preserve">000 1525 05, BIC: </w:t>
      </w:r>
      <w:r>
        <w:rPr>
          <w:rFonts w:eastAsia="Times New Roman" w:ascii="Times New Roman" w:hAnsi="Times New Roman"/>
          <w:b/>
          <w:bCs/>
          <w:sz w:val="24"/>
          <w:szCs w:val="24"/>
          <w:lang w:val="en-US" w:bidi="en-US"/>
        </w:rPr>
        <w:t>DEMI BGSF</w:t>
      </w:r>
      <w:r>
        <w:rPr>
          <w:rFonts w:eastAsia="Times New Roman" w:ascii="Times New Roman" w:hAnsi="Times New Roman"/>
          <w:b/>
          <w:bCs/>
          <w:sz w:val="24"/>
          <w:szCs w:val="24"/>
          <w:lang w:val="en-US" w:eastAsia="bg-BG"/>
        </w:rPr>
        <w:t>, при Банка: Търговска банка „Д” АД</w:t>
      </w:r>
      <w:r>
        <w:rPr>
          <w:rFonts w:eastAsia="Times New Roman" w:ascii="Times New Roman" w:hAnsi="Times New Roman"/>
          <w:b/>
          <w:bCs/>
          <w:sz w:val="24"/>
          <w:szCs w:val="24"/>
          <w:lang w:val="ru-RU" w:eastAsia="bg-BG"/>
        </w:rPr>
        <w:t>, клон: Шумен, офис: с. Венец.</w:t>
      </w:r>
    </w:p>
    <w:p>
      <w:pPr>
        <w:pStyle w:val="Normal"/>
        <w:numPr>
          <w:ilvl w:val="0"/>
          <w:numId w:val="1"/>
        </w:numPr>
        <w:spacing w:lineRule="auto" w:line="240" w:before="0" w:after="0"/>
        <w:ind w:left="0" w:firstLine="851"/>
        <w:jc w:val="both"/>
        <w:rPr/>
      </w:pPr>
      <w:r>
        <w:rPr>
          <w:rFonts w:ascii="Times New Roman" w:hAnsi="Times New Roman"/>
          <w:b/>
          <w:sz w:val="24"/>
          <w:szCs w:val="24"/>
          <w:u w:val="single"/>
          <w:lang w:eastAsia="bg-BG"/>
        </w:rPr>
        <w:t>Гаранцията за участие</w:t>
      </w:r>
      <w:r>
        <w:rPr>
          <w:rFonts w:ascii="Times New Roman" w:hAnsi="Times New Roman"/>
          <w:sz w:val="24"/>
          <w:szCs w:val="24"/>
          <w:lang w:eastAsia="bg-BG"/>
        </w:rPr>
        <w:t xml:space="preserve"> следва да е постъпила реално по банковата сметка на ТП „ДЛС Паламата“ в рамките на крайният срок за регистрация за участие в търга, а именно: </w:t>
      </w:r>
      <w:r>
        <w:rPr>
          <w:rFonts w:ascii="Times New Roman" w:hAnsi="Times New Roman"/>
          <w:b/>
          <w:sz w:val="24"/>
          <w:szCs w:val="24"/>
          <w:highlight w:val="yellow"/>
          <w:u w:val="single"/>
          <w:lang w:eastAsia="bg-BG"/>
        </w:rPr>
        <w:t xml:space="preserve">до </w:t>
      </w:r>
      <w:r>
        <w:rPr>
          <w:rFonts w:ascii="Times New Roman" w:hAnsi="Times New Roman"/>
          <w:b/>
          <w:sz w:val="24"/>
          <w:szCs w:val="24"/>
          <w:highlight w:val="yellow"/>
          <w:u w:val="single"/>
          <w:lang w:eastAsia="bg-BG"/>
        </w:rPr>
        <w:t>20</w:t>
      </w:r>
      <w:r>
        <w:rPr>
          <w:rFonts w:ascii="Times New Roman" w:hAnsi="Times New Roman"/>
          <w:b/>
          <w:sz w:val="24"/>
          <w:szCs w:val="24"/>
          <w:highlight w:val="yellow"/>
          <w:u w:val="single"/>
          <w:lang w:eastAsia="bg-BG"/>
        </w:rPr>
        <w:t>.11.2017 г.</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pPr>
        <w:pStyle w:val="Normal"/>
        <w:spacing w:lineRule="auto" w:line="240" w:before="0" w:after="0"/>
        <w:ind w:firstLine="851"/>
        <w:jc w:val="both"/>
        <w:rPr/>
      </w:pPr>
      <w:r>
        <w:rPr>
          <w:rFonts w:ascii="Times New Roman" w:hAnsi="Times New Roman"/>
          <w:sz w:val="24"/>
          <w:szCs w:val="24"/>
          <w:lang w:eastAsia="bg-BG"/>
        </w:rPr>
        <w:t xml:space="preserve">- ТП „ДЛС Паламара”, за участие в </w:t>
      </w:r>
      <w:r>
        <w:rPr>
          <w:rFonts w:ascii="Times New Roman" w:hAnsi="Times New Roman"/>
          <w:b/>
          <w:sz w:val="24"/>
          <w:szCs w:val="24"/>
          <w:lang w:eastAsia="bg-BG"/>
        </w:rPr>
        <w:t>„ЕЛЕКТРОНЕН ТЪРГ“</w:t>
      </w:r>
      <w:r>
        <w:rPr>
          <w:rFonts w:ascii="Times New Roman" w:hAnsi="Times New Roman"/>
          <w:sz w:val="24"/>
          <w:szCs w:val="24"/>
          <w:lang w:eastAsia="bg-BG"/>
        </w:rPr>
        <w:t xml:space="preserve"> за продажба на прогнозно количество действително добита дървесина намираща се на временен склад;</w:t>
      </w:r>
    </w:p>
    <w:p>
      <w:pPr>
        <w:pStyle w:val="Normal"/>
        <w:spacing w:lineRule="auto" w:line="240" w:before="0" w:after="0"/>
        <w:ind w:firstLine="851"/>
        <w:jc w:val="both"/>
        <w:rPr/>
      </w:pPr>
      <w:r>
        <w:rPr>
          <w:rFonts w:ascii="Times New Roman" w:hAnsi="Times New Roman"/>
          <w:sz w:val="24"/>
          <w:szCs w:val="24"/>
          <w:lang w:eastAsia="bg-BG"/>
        </w:rPr>
        <w:t xml:space="preserve">- номера на </w:t>
      </w:r>
      <w:r>
        <w:rPr>
          <w:rFonts w:ascii="Times New Roman" w:hAnsi="Times New Roman"/>
          <w:b/>
          <w:sz w:val="24"/>
          <w:szCs w:val="24"/>
          <w:lang w:eastAsia="bg-BG"/>
        </w:rPr>
        <w:t>ОБЕКТА</w:t>
      </w:r>
      <w:r>
        <w:rPr>
          <w:rFonts w:ascii="Times New Roman" w:hAnsi="Times New Roman"/>
          <w:sz w:val="24"/>
          <w:szCs w:val="24"/>
          <w:lang w:eastAsia="bg-BG"/>
        </w:rPr>
        <w:t>, за който се внася гаранцията за участие;</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t xml:space="preserve">- наименование на фирмата-кандидат със задължително посочен </w:t>
      </w:r>
      <w:r>
        <w:rPr>
          <w:rFonts w:ascii="Times New Roman" w:hAnsi="Times New Roman"/>
          <w:b/>
          <w:sz w:val="24"/>
          <w:szCs w:val="24"/>
          <w:lang w:eastAsia="bg-BG"/>
        </w:rPr>
        <w:t>ЕИК</w:t>
      </w:r>
      <w:r>
        <w:rPr>
          <w:rFonts w:ascii="Times New Roman" w:hAnsi="Times New Roman"/>
          <w:sz w:val="24"/>
          <w:szCs w:val="24"/>
          <w:lang w:eastAsia="bg-BG"/>
        </w:rPr>
        <w:t>.</w:t>
      </w:r>
    </w:p>
    <w:p>
      <w:pPr>
        <w:pStyle w:val="Normal"/>
        <w:tabs>
          <w:tab w:val="left" w:pos="0" w:leader="none"/>
        </w:tabs>
        <w:spacing w:lineRule="auto" w:line="240" w:before="0" w:after="0"/>
        <w:ind w:firstLine="851"/>
        <w:jc w:val="both"/>
        <w:rPr>
          <w:rFonts w:ascii="Times New Roman" w:hAnsi="Times New Roman"/>
          <w:b/>
          <w:b/>
          <w:sz w:val="24"/>
          <w:szCs w:val="24"/>
          <w:lang w:eastAsia="bg-BG"/>
        </w:rPr>
      </w:pPr>
      <w:r>
        <w:rPr>
          <w:rFonts w:ascii="Times New Roman" w:hAnsi="Times New Roman"/>
          <w:b/>
          <w:sz w:val="24"/>
          <w:szCs w:val="24"/>
          <w:lang w:eastAsia="bg-BG"/>
        </w:rPr>
        <w:t>2.</w:t>
      </w:r>
      <w:r>
        <w:rPr>
          <w:rFonts w:ascii="Times New Roman" w:hAnsi="Times New Roman"/>
          <w:sz w:val="24"/>
          <w:szCs w:val="24"/>
          <w:lang w:eastAsia="bg-BG"/>
        </w:rPr>
        <w:t xml:space="preserve"> Стъпката за наддаване е парична сума в размера посочен в таблицата от т.1 от Раздел </w:t>
      </w:r>
      <w:r>
        <w:rPr>
          <w:rFonts w:ascii="Times New Roman" w:hAnsi="Times New Roman"/>
          <w:sz w:val="24"/>
          <w:szCs w:val="24"/>
          <w:lang w:val="en-US" w:eastAsia="bg-BG"/>
        </w:rPr>
        <w:t xml:space="preserve">I </w:t>
      </w:r>
      <w:r>
        <w:rPr>
          <w:rFonts w:ascii="Times New Roman" w:hAnsi="Times New Roman"/>
          <w:sz w:val="24"/>
          <w:szCs w:val="24"/>
          <w:lang w:eastAsia="bg-BG"/>
        </w:rPr>
        <w:t>от настоящите условия.</w:t>
      </w:r>
    </w:p>
    <w:p>
      <w:pPr>
        <w:pStyle w:val="Normal"/>
        <w:tabs>
          <w:tab w:val="left" w:pos="0" w:leader="none"/>
        </w:tabs>
        <w:spacing w:lineRule="auto" w:line="240" w:before="0" w:after="0"/>
        <w:ind w:firstLine="851"/>
        <w:jc w:val="both"/>
        <w:rPr/>
      </w:pPr>
      <w:r>
        <w:rPr>
          <w:rFonts w:ascii="Times New Roman" w:hAnsi="Times New Roman"/>
          <w:b/>
          <w:sz w:val="24"/>
          <w:szCs w:val="24"/>
          <w:lang w:eastAsia="bg-BG"/>
        </w:rPr>
        <w:t>3.</w:t>
      </w:r>
      <w:r>
        <w:rPr>
          <w:rFonts w:ascii="Times New Roman" w:hAnsi="Times New Roman"/>
          <w:sz w:val="24"/>
          <w:szCs w:val="24"/>
          <w:lang w:eastAsia="bg-BG"/>
        </w:rPr>
        <w:t xml:space="preserve"> Гаранцията за изпълнение на договора за продажба на дървесината е в размер на 5</w:t>
      </w:r>
      <w:r>
        <w:rPr>
          <w:rFonts w:ascii="Times New Roman" w:hAnsi="Times New Roman"/>
          <w:b/>
          <w:sz w:val="24"/>
          <w:szCs w:val="24"/>
          <w:lang w:eastAsia="bg-BG"/>
        </w:rPr>
        <w:t>% (</w:t>
      </w:r>
      <w:r>
        <w:rPr>
          <w:rFonts w:ascii="Times New Roman" w:hAnsi="Times New Roman"/>
          <w:sz w:val="24"/>
          <w:szCs w:val="24"/>
          <w:lang w:eastAsia="bg-BG"/>
        </w:rPr>
        <w:t>пет  процента</w:t>
      </w:r>
      <w:r>
        <w:rPr>
          <w:rFonts w:ascii="Times New Roman" w:hAnsi="Times New Roman"/>
          <w:b/>
          <w:sz w:val="24"/>
          <w:szCs w:val="24"/>
          <w:lang w:eastAsia="bg-BG"/>
        </w:rPr>
        <w:t>)</w:t>
      </w:r>
      <w:r>
        <w:rPr>
          <w:rFonts w:ascii="Times New Roman" w:hAnsi="Times New Roman"/>
          <w:sz w:val="24"/>
          <w:szCs w:val="24"/>
          <w:lang w:eastAsia="bg-BG"/>
        </w:rPr>
        <w:t xml:space="preserve"> от достигнатата цена за обекта и следва да бъде внесена по сметка на ТП „ДЛС Паламара“ преди подписване на договора за покупко-продажба. Гаранцията за изпълнение се представя в една от следните форми:</w:t>
      </w:r>
    </w:p>
    <w:p>
      <w:pPr>
        <w:pStyle w:val="Normal"/>
        <w:spacing w:lineRule="auto" w:line="240" w:before="0" w:after="0"/>
        <w:ind w:firstLine="851"/>
        <w:jc w:val="both"/>
        <w:rPr/>
      </w:pPr>
      <w:r>
        <w:rPr>
          <w:rFonts w:ascii="Times New Roman" w:hAnsi="Times New Roman"/>
          <w:b/>
          <w:sz w:val="24"/>
          <w:szCs w:val="24"/>
          <w:lang w:eastAsia="bg-BG"/>
        </w:rPr>
        <w:t>3.1.</w:t>
      </w:r>
      <w:r>
        <w:rPr>
          <w:rFonts w:ascii="Times New Roman" w:hAnsi="Times New Roman"/>
          <w:sz w:val="24"/>
          <w:szCs w:val="24"/>
          <w:lang w:eastAsia="bg-BG"/>
        </w:rPr>
        <w:t xml:space="preserve"> парична сума, внесена по сметка на ТП „ДЛС Паламара”;</w:t>
      </w:r>
    </w:p>
    <w:p>
      <w:pPr>
        <w:pStyle w:val="Normal"/>
        <w:spacing w:lineRule="auto" w:line="240" w:before="0" w:after="0"/>
        <w:ind w:firstLine="851"/>
        <w:jc w:val="both"/>
        <w:rPr/>
      </w:pPr>
      <w:r>
        <w:rPr>
          <w:rFonts w:ascii="Times New Roman" w:hAnsi="Times New Roman"/>
          <w:b/>
          <w:sz w:val="24"/>
          <w:szCs w:val="24"/>
          <w:lang w:eastAsia="bg-BG"/>
        </w:rPr>
        <w:t>3.2.</w:t>
      </w:r>
      <w:r>
        <w:rPr>
          <w:rFonts w:ascii="Times New Roman" w:hAnsi="Times New Roman"/>
          <w:sz w:val="24"/>
          <w:szCs w:val="24"/>
          <w:lang w:eastAsia="bg-BG"/>
        </w:rPr>
        <w:t xml:space="preserve"> банкова гаранция, учредена в полза на ТП „ДЛС Паламара”.</w:t>
      </w:r>
    </w:p>
    <w:p>
      <w:pPr>
        <w:pStyle w:val="Normal"/>
        <w:suppressAutoHyphens w:val="true"/>
        <w:overflowPunct w:val="false"/>
        <w:spacing w:lineRule="auto" w:line="240" w:before="0" w:after="0"/>
        <w:ind w:firstLine="851"/>
        <w:jc w:val="both"/>
        <w:textAlignment w:val="baseline"/>
        <w:rPr/>
      </w:pPr>
      <w:r>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lang w:eastAsia="bg-BG"/>
        </w:rPr>
        <w:t>ТП „ДЛС Паламара”</w:t>
      </w:r>
      <w:r>
        <w:rPr>
          <w:rFonts w:ascii="Times New Roman" w:hAnsi="Times New Roman"/>
          <w:sz w:val="24"/>
          <w:szCs w:val="24"/>
          <w:lang w:eastAsia="ar-SA"/>
        </w:rPr>
        <w:t xml:space="preserve">– безусловна и неотменяема. Същата се представя в </w:t>
      </w:r>
      <w:r>
        <w:rPr>
          <w:rFonts w:ascii="Times New Roman" w:hAnsi="Times New Roman"/>
          <w:b/>
          <w:sz w:val="24"/>
          <w:szCs w:val="24"/>
          <w:lang w:eastAsia="ar-SA"/>
        </w:rPr>
        <w:t>оригинал</w:t>
      </w:r>
      <w:r>
        <w:rPr>
          <w:rFonts w:ascii="Times New Roman" w:hAnsi="Times New Roman"/>
          <w:sz w:val="24"/>
          <w:szCs w:val="24"/>
          <w:lang w:eastAsia="ar-SA"/>
        </w:rPr>
        <w:t xml:space="preserve"> при сключване на договора, като срокът ѝ на действие следва да е </w:t>
      </w:r>
      <w:r>
        <w:rPr>
          <w:rFonts w:ascii="Times New Roman" w:hAnsi="Times New Roman"/>
          <w:b/>
          <w:sz w:val="24"/>
          <w:szCs w:val="24"/>
          <w:lang w:eastAsia="ar-SA"/>
        </w:rPr>
        <w:t>не по-малък от един (1) месец</w:t>
      </w:r>
      <w:r>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t>Купувачът избира сам формата на гаранцията за изпълнение.</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4.</w:t>
      </w:r>
      <w:r>
        <w:rPr>
          <w:rFonts w:ascii="Times New Roman" w:hAnsi="Times New Roman"/>
          <w:sz w:val="24"/>
          <w:szCs w:val="24"/>
          <w:lang w:eastAsia="bg-BG"/>
        </w:rPr>
        <w:t xml:space="preserve"> Продавачът освобождава гаранциите за участие на: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4.1.</w:t>
      </w:r>
      <w:r>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4.2.</w:t>
      </w:r>
      <w:r>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5.</w:t>
      </w:r>
      <w:r>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6.</w:t>
      </w:r>
      <w:r>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bCs/>
          <w:sz w:val="24"/>
          <w:szCs w:val="24"/>
          <w:lang w:eastAsia="bg-BG"/>
        </w:rPr>
        <w:t xml:space="preserve">7. </w:t>
      </w:r>
      <w:r>
        <w:rPr>
          <w:rFonts w:ascii="Times New Roman" w:hAnsi="Times New Roman"/>
          <w:sz w:val="24"/>
          <w:szCs w:val="24"/>
          <w:lang w:eastAsia="bg-BG"/>
        </w:rPr>
        <w:t>Продавачът задържа гаранцията  за участие, когато кандидат в процедурата: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7.1.</w:t>
      </w:r>
      <w:r>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7.2.</w:t>
      </w:r>
      <w:r>
        <w:rPr>
          <w:rFonts w:ascii="Times New Roman" w:hAnsi="Times New Roman"/>
          <w:sz w:val="24"/>
          <w:szCs w:val="24"/>
          <w:lang w:eastAsia="bg-BG"/>
        </w:rPr>
        <w:t xml:space="preserve"> е определен за купувач, но не изпълни задължението си да сключи договор.</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bCs/>
          <w:sz w:val="24"/>
          <w:szCs w:val="24"/>
          <w:lang w:eastAsia="bg-BG"/>
        </w:rPr>
        <w:t xml:space="preserve">8. </w:t>
      </w:r>
      <w:r>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pPr>
        <w:pStyle w:val="Normal"/>
        <w:spacing w:lineRule="auto" w:line="240" w:before="0" w:after="0"/>
        <w:ind w:firstLine="851"/>
        <w:jc w:val="both"/>
        <w:rPr/>
      </w:pPr>
      <w:r>
        <w:rPr>
          <w:rFonts w:ascii="Times New Roman" w:hAnsi="Times New Roman"/>
          <w:b/>
          <w:sz w:val="24"/>
          <w:szCs w:val="24"/>
          <w:lang w:eastAsia="bg-BG"/>
        </w:rPr>
        <w:t xml:space="preserve">9. </w:t>
      </w:r>
      <w:r>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Pr>
          <w:rFonts w:ascii="Times New Roman" w:hAnsi="Times New Roman"/>
          <w:b/>
          <w:sz w:val="24"/>
          <w:szCs w:val="24"/>
          <w:lang w:eastAsia="bg-BG"/>
        </w:rPr>
        <w:t>https://sale.uslugi.io/sidp</w:t>
      </w:r>
    </w:p>
    <w:p>
      <w:pPr>
        <w:pStyle w:val="Normal"/>
        <w:spacing w:lineRule="auto" w:line="240" w:before="0" w:after="0"/>
        <w:ind w:firstLine="851"/>
        <w:jc w:val="both"/>
        <w:rPr/>
      </w:pPr>
      <w:r>
        <w:rPr>
          <w:rFonts w:ascii="Times New Roman" w:hAnsi="Times New Roman"/>
          <w:b/>
          <w:sz w:val="24"/>
          <w:szCs w:val="24"/>
          <w:lang w:eastAsia="bg-BG"/>
        </w:rPr>
        <w:t>10. СРОКОВЕТЕ за подаване на документи</w:t>
      </w:r>
      <w:r>
        <w:rPr>
          <w:rFonts w:ascii="Times New Roman" w:hAnsi="Times New Roman"/>
          <w:sz w:val="24"/>
          <w:szCs w:val="24"/>
          <w:lang w:eastAsia="bg-BG"/>
        </w:rPr>
        <w:t xml:space="preserve"> за участие в електронния търг - </w:t>
      </w:r>
      <w:r>
        <w:rPr>
          <w:rFonts w:ascii="Times New Roman" w:hAnsi="Times New Roman"/>
          <w:b/>
          <w:sz w:val="24"/>
          <w:szCs w:val="24"/>
          <w:lang w:eastAsia="bg-BG"/>
        </w:rPr>
        <w:t xml:space="preserve">до </w:t>
      </w:r>
      <w:r>
        <w:rPr>
          <w:rFonts w:ascii="Times New Roman" w:hAnsi="Times New Roman"/>
          <w:b/>
          <w:sz w:val="24"/>
          <w:szCs w:val="24"/>
          <w:highlight w:val="yellow"/>
          <w:lang w:eastAsia="bg-BG"/>
        </w:rPr>
        <w:t xml:space="preserve">23:59 часа на </w:t>
      </w:r>
      <w:r>
        <w:rPr>
          <w:rFonts w:ascii="Times New Roman" w:hAnsi="Times New Roman"/>
          <w:b/>
          <w:sz w:val="24"/>
          <w:szCs w:val="24"/>
          <w:highlight w:val="yellow"/>
          <w:lang w:eastAsia="bg-BG"/>
        </w:rPr>
        <w:t>20</w:t>
      </w:r>
      <w:r>
        <w:rPr>
          <w:rFonts w:ascii="Times New Roman" w:hAnsi="Times New Roman"/>
          <w:b/>
          <w:sz w:val="24"/>
          <w:szCs w:val="24"/>
          <w:highlight w:val="yellow"/>
          <w:lang w:eastAsia="bg-BG"/>
        </w:rPr>
        <w:t>.11.2017 година</w:t>
      </w:r>
      <w:r>
        <w:rPr>
          <w:rFonts w:ascii="Times New Roman" w:hAnsi="Times New Roman"/>
          <w:sz w:val="24"/>
          <w:szCs w:val="24"/>
          <w:highlight w:val="yellow"/>
          <w:lang w:eastAsia="bg-BG"/>
        </w:rPr>
        <w:t>.</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r>
    </w:p>
    <w:p>
      <w:pPr>
        <w:pStyle w:val="Normal"/>
        <w:tabs>
          <w:tab w:val="left" w:pos="360" w:leader="none"/>
        </w:tabs>
        <w:spacing w:lineRule="auto" w:line="240" w:before="0" w:after="0"/>
        <w:ind w:firstLine="851"/>
        <w:jc w:val="center"/>
        <w:rPr>
          <w:rFonts w:ascii="Times New Roman" w:hAnsi="Times New Roman"/>
          <w:b/>
          <w:b/>
          <w:sz w:val="24"/>
          <w:szCs w:val="24"/>
          <w:lang w:eastAsia="bg-BG"/>
        </w:rPr>
      </w:pPr>
      <w:r>
        <w:rPr>
          <w:rFonts w:ascii="Times New Roman" w:hAnsi="Times New Roman"/>
          <w:b/>
          <w:sz w:val="24"/>
          <w:szCs w:val="24"/>
          <w:lang w:eastAsia="bg-BG"/>
        </w:rPr>
        <w:t>V. ПРАВО НА УЧАСТИЕ</w:t>
      </w:r>
    </w:p>
    <w:p>
      <w:pPr>
        <w:pStyle w:val="Normal"/>
        <w:spacing w:lineRule="auto" w:line="240" w:before="0" w:after="0"/>
        <w:ind w:firstLine="851"/>
        <w:jc w:val="both"/>
        <w:textAlignment w:val="center"/>
        <w:rPr>
          <w:rFonts w:ascii="Times New Roman" w:hAnsi="Times New Roman"/>
          <w:sz w:val="24"/>
          <w:szCs w:val="24"/>
          <w:lang w:eastAsia="bg-BG"/>
        </w:rPr>
      </w:pPr>
      <w:r>
        <w:rPr>
          <w:rFonts w:ascii="Times New Roman" w:hAnsi="Times New Roman"/>
          <w:b/>
          <w:sz w:val="24"/>
          <w:szCs w:val="24"/>
          <w:lang w:eastAsia="bg-BG"/>
        </w:rPr>
        <w:t>1.До участие в търга се допускат юридически и физически лица, еднолични търговци или техни обединения.</w:t>
      </w:r>
    </w:p>
    <w:p>
      <w:pPr>
        <w:pStyle w:val="Normal"/>
        <w:spacing w:lineRule="auto" w:line="240" w:before="0" w:after="0"/>
        <w:ind w:firstLine="851"/>
        <w:jc w:val="both"/>
        <w:textAlignment w:val="center"/>
        <w:rPr>
          <w:rFonts w:ascii="Times New Roman" w:hAnsi="Times New Roman"/>
          <w:b/>
          <w:b/>
          <w:sz w:val="24"/>
          <w:szCs w:val="24"/>
          <w:u w:val="single"/>
          <w:lang w:eastAsia="bg-BG"/>
        </w:rPr>
      </w:pPr>
      <w:r>
        <w:rPr>
          <w:rFonts w:ascii="Times New Roman" w:hAnsi="Times New Roman"/>
          <w:b/>
          <w:sz w:val="24"/>
          <w:szCs w:val="24"/>
          <w:u w:val="single"/>
          <w:lang w:eastAsia="bg-BG"/>
        </w:rPr>
        <w:t>Не може да участва кандидат, който:</w:t>
      </w:r>
    </w:p>
    <w:p>
      <w:pPr>
        <w:pStyle w:val="Normal"/>
        <w:spacing w:lineRule="auto" w:line="240" w:before="0" w:after="0"/>
        <w:ind w:firstLine="851"/>
        <w:jc w:val="both"/>
        <w:textAlignment w:val="center"/>
        <w:rPr>
          <w:rFonts w:ascii="Times New Roman" w:hAnsi="Times New Roman"/>
          <w:sz w:val="24"/>
          <w:szCs w:val="24"/>
          <w:lang w:eastAsia="bg-BG"/>
        </w:rPr>
      </w:pPr>
      <w:r>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pPr>
        <w:pStyle w:val="Normal"/>
        <w:spacing w:lineRule="auto" w:line="240" w:before="0" w:after="0"/>
        <w:ind w:firstLine="851"/>
        <w:jc w:val="both"/>
        <w:textAlignment w:val="center"/>
        <w:rPr>
          <w:rFonts w:ascii="Times New Roman" w:hAnsi="Times New Roman"/>
          <w:sz w:val="24"/>
          <w:szCs w:val="24"/>
          <w:lang w:eastAsia="bg-BG"/>
        </w:rPr>
      </w:pPr>
      <w:r>
        <w:rPr>
          <w:rFonts w:ascii="Times New Roman" w:hAnsi="Times New Roman"/>
          <w:sz w:val="24"/>
          <w:szCs w:val="24"/>
          <w:lang w:eastAsia="bg-BG"/>
        </w:rPr>
        <w:t>б) е обявен в несъстоятелност илие в производство по несъстоятелност;</w:t>
      </w:r>
    </w:p>
    <w:p>
      <w:pPr>
        <w:pStyle w:val="Normal"/>
        <w:spacing w:lineRule="auto" w:line="240" w:before="0" w:after="0"/>
        <w:ind w:firstLine="851"/>
        <w:jc w:val="both"/>
        <w:textAlignment w:val="center"/>
        <w:rPr>
          <w:rFonts w:ascii="Times New Roman" w:hAnsi="Times New Roman"/>
          <w:sz w:val="24"/>
          <w:szCs w:val="24"/>
          <w:lang w:eastAsia="bg-BG"/>
        </w:rPr>
      </w:pPr>
      <w:r>
        <w:rPr>
          <w:rFonts w:ascii="Times New Roman" w:hAnsi="Times New Roman"/>
          <w:sz w:val="24"/>
          <w:szCs w:val="24"/>
          <w:lang w:eastAsia="bg-BG"/>
        </w:rPr>
        <w:t>в) е в производство по ликвидация;</w:t>
      </w:r>
    </w:p>
    <w:p>
      <w:pPr>
        <w:pStyle w:val="Normal"/>
        <w:spacing w:lineRule="auto" w:line="240" w:before="0" w:after="0"/>
        <w:ind w:firstLine="851"/>
        <w:jc w:val="both"/>
        <w:textAlignment w:val="center"/>
        <w:rPr/>
      </w:pPr>
      <w:r>
        <w:rPr>
          <w:rFonts w:ascii="Times New Roman" w:hAnsi="Times New Roman"/>
          <w:sz w:val="24"/>
          <w:szCs w:val="24"/>
          <w:lang w:eastAsia="bg-BG"/>
        </w:rPr>
        <w:t xml:space="preserve">г) е свързано лице по смисъла на § 1, т. 1 от допълнителната разпоредба на Закона за предотвратяване и установяване на конфликт на интереси (ЗПУКИ) с директора на „Североизточно държавно предприятие” ДП – гр. Шумен и директора на </w:t>
      </w:r>
      <w:r>
        <w:rPr>
          <w:rFonts w:ascii="Times New Roman" w:hAnsi="Times New Roman"/>
          <w:b/>
          <w:sz w:val="24"/>
          <w:szCs w:val="24"/>
          <w:lang w:eastAsia="bg-BG"/>
        </w:rPr>
        <w:t xml:space="preserve">ТП </w:t>
      </w:r>
      <w:r>
        <w:rPr>
          <w:rFonts w:ascii="Times New Roman" w:hAnsi="Times New Roman"/>
          <w:sz w:val="24"/>
          <w:szCs w:val="24"/>
          <w:lang w:eastAsia="bg-BG"/>
        </w:rPr>
        <w:t>„</w:t>
      </w:r>
      <w:r>
        <w:rPr>
          <w:rFonts w:ascii="Times New Roman" w:hAnsi="Times New Roman"/>
          <w:b/>
          <w:bCs/>
          <w:sz w:val="24"/>
          <w:szCs w:val="24"/>
          <w:lang w:eastAsia="bg-BG"/>
        </w:rPr>
        <w:t>ДЛС Паламара</w:t>
      </w:r>
      <w:r>
        <w:rPr>
          <w:rFonts w:ascii="Times New Roman" w:hAnsi="Times New Roman"/>
          <w:sz w:val="24"/>
          <w:szCs w:val="24"/>
          <w:lang w:eastAsia="bg-BG"/>
        </w:rPr>
        <w:t>” с. Венец;</w:t>
      </w:r>
    </w:p>
    <w:p>
      <w:pPr>
        <w:pStyle w:val="Normal"/>
        <w:spacing w:lineRule="auto" w:line="240" w:before="0" w:after="0"/>
        <w:ind w:firstLine="851"/>
        <w:jc w:val="both"/>
        <w:textAlignment w:val="center"/>
        <w:rPr>
          <w:rFonts w:ascii="Times New Roman" w:hAnsi="Times New Roman"/>
          <w:sz w:val="24"/>
          <w:szCs w:val="24"/>
          <w:lang w:eastAsia="bg-BG"/>
        </w:rPr>
      </w:pPr>
      <w:r>
        <w:rPr>
          <w:rFonts w:ascii="Times New Roman" w:hAnsi="Times New Roman"/>
          <w:sz w:val="24"/>
          <w:szCs w:val="24"/>
          <w:lang w:eastAsia="bg-BG"/>
        </w:rPr>
        <w:t>д) е сключил договор с лице по чл. 21 от Закона за предотвратяване и установяване на конфликт на интереси;</w:t>
      </w:r>
    </w:p>
    <w:p>
      <w:pPr>
        <w:pStyle w:val="Normal"/>
        <w:spacing w:lineRule="auto" w:line="240" w:before="0" w:after="0"/>
        <w:ind w:firstLine="851"/>
        <w:jc w:val="both"/>
        <w:textAlignment w:val="center"/>
        <w:rPr>
          <w:rFonts w:ascii="Times New Roman" w:hAnsi="Times New Roman"/>
          <w:sz w:val="24"/>
          <w:szCs w:val="24"/>
          <w:lang w:eastAsia="bg-BG"/>
        </w:rPr>
      </w:pPr>
      <w:r>
        <w:rPr>
          <w:rFonts w:ascii="Times New Roman" w:hAnsi="Times New Roman"/>
          <w:sz w:val="24"/>
          <w:szCs w:val="24"/>
          <w:lang w:eastAsia="bg-BG"/>
        </w:rPr>
        <w:t>е) е лишен от право да упражнява търговска дейност;</w:t>
      </w:r>
    </w:p>
    <w:p>
      <w:pPr>
        <w:pStyle w:val="Normal"/>
        <w:spacing w:lineRule="auto" w:line="240" w:before="0" w:after="0"/>
        <w:ind w:firstLine="851"/>
        <w:jc w:val="both"/>
        <w:textAlignment w:val="center"/>
        <w:rPr>
          <w:rFonts w:ascii="Times New Roman" w:hAnsi="Times New Roman"/>
          <w:sz w:val="24"/>
          <w:szCs w:val="24"/>
          <w:lang w:eastAsia="bg-BG"/>
        </w:rPr>
      </w:pPr>
      <w:r>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pPr>
        <w:pStyle w:val="Normal"/>
        <w:spacing w:lineRule="auto" w:line="240" w:before="0" w:after="0"/>
        <w:ind w:firstLine="851"/>
        <w:jc w:val="both"/>
        <w:textAlignment w:val="center"/>
        <w:rPr>
          <w:rFonts w:ascii="Times New Roman" w:hAnsi="Times New Roman"/>
          <w:sz w:val="24"/>
          <w:szCs w:val="24"/>
          <w:lang w:eastAsia="bg-BG"/>
        </w:rPr>
      </w:pPr>
      <w:r>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pPr>
        <w:pStyle w:val="Normal"/>
        <w:tabs>
          <w:tab w:val="left" w:pos="0" w:leader="none"/>
        </w:tabs>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t xml:space="preserve">При продажбата на добита дървесина </w:t>
      </w:r>
      <w:r>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Pr>
          <w:rFonts w:ascii="Times New Roman" w:hAnsi="Times New Roman"/>
          <w:sz w:val="24"/>
          <w:szCs w:val="24"/>
          <w:lang w:eastAsia="bg-BG"/>
        </w:rPr>
        <w:t>.</w:t>
      </w:r>
    </w:p>
    <w:p>
      <w:pPr>
        <w:pStyle w:val="Normal"/>
        <w:tabs>
          <w:tab w:val="left" w:pos="0" w:leader="none"/>
        </w:tabs>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r>
    </w:p>
    <w:p>
      <w:pPr>
        <w:pStyle w:val="Normal"/>
        <w:tabs>
          <w:tab w:val="left" w:pos="720" w:leader="none"/>
        </w:tabs>
        <w:spacing w:lineRule="auto" w:line="240" w:before="0" w:after="0"/>
        <w:ind w:firstLine="851"/>
        <w:jc w:val="center"/>
        <w:rPr>
          <w:rFonts w:ascii="Times New Roman" w:hAnsi="Times New Roman"/>
          <w:b/>
          <w:b/>
          <w:sz w:val="24"/>
          <w:szCs w:val="24"/>
          <w:lang w:eastAsia="bg-BG"/>
        </w:rPr>
      </w:pPr>
      <w:r>
        <w:rPr>
          <w:rFonts w:ascii="Times New Roman" w:hAnsi="Times New Roman"/>
          <w:b/>
          <w:sz w:val="24"/>
          <w:szCs w:val="24"/>
          <w:lang w:eastAsia="bg-BG"/>
        </w:rPr>
        <w:t>VI. РЕГИСТРАЦИЯ, ДОКУМЕНТИ И ВПИСВАНЕ НА КАНДИДАТИТЕ ЗА УЧАСТИЕ В ТЪРГА</w:t>
      </w:r>
    </w:p>
    <w:p>
      <w:pPr>
        <w:pStyle w:val="Normal"/>
        <w:tabs>
          <w:tab w:val="left" w:pos="720" w:leader="none"/>
        </w:tabs>
        <w:spacing w:lineRule="auto" w:line="240" w:before="0" w:after="0"/>
        <w:ind w:firstLine="851"/>
        <w:jc w:val="center"/>
        <w:rPr>
          <w:rFonts w:ascii="Times New Roman" w:hAnsi="Times New Roman"/>
          <w:b/>
          <w:b/>
          <w:sz w:val="24"/>
          <w:szCs w:val="24"/>
          <w:lang w:eastAsia="bg-BG"/>
        </w:rPr>
      </w:pPr>
      <w:r>
        <w:rPr>
          <w:rFonts w:ascii="Times New Roman" w:hAnsi="Times New Roman"/>
          <w:b/>
          <w:sz w:val="24"/>
          <w:szCs w:val="24"/>
          <w:lang w:eastAsia="bg-BG"/>
        </w:rPr>
      </w:r>
    </w:p>
    <w:p>
      <w:pPr>
        <w:pStyle w:val="Normal"/>
        <w:spacing w:lineRule="auto" w:line="240" w:before="0" w:after="0"/>
        <w:ind w:firstLine="851"/>
        <w:jc w:val="both"/>
        <w:textAlignment w:val="center"/>
        <w:rPr>
          <w:rFonts w:ascii="Times New Roman" w:hAnsi="Times New Roman"/>
          <w:sz w:val="24"/>
          <w:szCs w:val="24"/>
          <w:lang w:eastAsia="bg-BG"/>
        </w:rPr>
      </w:pPr>
      <w:r>
        <w:rPr>
          <w:rFonts w:ascii="Times New Roman" w:hAnsi="Times New Roman"/>
          <w:b/>
          <w:sz w:val="24"/>
          <w:szCs w:val="24"/>
          <w:lang w:eastAsia="bg-BG"/>
        </w:rPr>
        <w:t xml:space="preserve">1. </w:t>
      </w:r>
      <w:r>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pPr>
        <w:pStyle w:val="Normal"/>
        <w:spacing w:lineRule="auto" w:line="240" w:before="0" w:after="0"/>
        <w:ind w:firstLine="851"/>
        <w:jc w:val="both"/>
        <w:textAlignment w:val="center"/>
        <w:rPr>
          <w:rFonts w:ascii="Times New Roman" w:hAnsi="Times New Roman"/>
          <w:sz w:val="24"/>
          <w:szCs w:val="24"/>
          <w:lang w:eastAsia="bg-BG"/>
        </w:rPr>
      </w:pPr>
      <w:r>
        <w:rPr>
          <w:rFonts w:ascii="Times New Roman" w:hAnsi="Times New Roman"/>
          <w:b/>
          <w:sz w:val="24"/>
          <w:szCs w:val="24"/>
          <w:lang w:eastAsia="bg-BG"/>
        </w:rPr>
        <w:t xml:space="preserve">2. </w:t>
      </w:r>
      <w:r>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pPr>
        <w:pStyle w:val="Normal"/>
        <w:spacing w:lineRule="auto" w:line="240" w:before="0" w:after="0"/>
        <w:ind w:firstLine="851"/>
        <w:jc w:val="both"/>
        <w:textAlignment w:val="center"/>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sz w:val="24"/>
          <w:szCs w:val="24"/>
          <w:lang w:eastAsia="bg-BG"/>
        </w:rPr>
        <w:t xml:space="preserve">ИНТЕРНЕТ ПЛАТФОРМАТА НА СИДП ДП – гр. Шумен” е https://sale.uslugi.io/sidp </w:t>
      </w:r>
    </w:p>
    <w:p>
      <w:pPr>
        <w:pStyle w:val="Normal"/>
        <w:spacing w:lineRule="auto" w:line="240" w:before="0" w:after="0"/>
        <w:ind w:firstLine="851"/>
        <w:jc w:val="both"/>
        <w:textAlignment w:val="center"/>
        <w:rPr>
          <w:rFonts w:ascii="Times New Roman" w:hAnsi="Times New Roman"/>
          <w:b/>
          <w:b/>
          <w:sz w:val="24"/>
          <w:szCs w:val="24"/>
          <w:lang w:eastAsia="bg-BG"/>
        </w:rPr>
      </w:pPr>
      <w:r>
        <w:rPr>
          <w:rFonts w:ascii="Times New Roman" w:hAnsi="Times New Roman"/>
          <w:b/>
          <w:sz w:val="24"/>
          <w:szCs w:val="24"/>
          <w:lang w:eastAsia="bg-BG"/>
        </w:rPr>
        <w:t xml:space="preserve">3. </w:t>
      </w:r>
      <w:r>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идентификационен код) за участие и ЛИНК за потвърждение на вписването му</w:t>
      </w:r>
      <w:r>
        <w:rPr>
          <w:rFonts w:ascii="Times New Roman" w:hAnsi="Times New Roman"/>
          <w:b/>
          <w:sz w:val="24"/>
          <w:szCs w:val="24"/>
          <w:lang w:eastAsia="bg-BG"/>
        </w:rPr>
        <w:t>.</w:t>
      </w:r>
    </w:p>
    <w:p>
      <w:pPr>
        <w:pStyle w:val="Normal"/>
        <w:spacing w:lineRule="auto" w:line="240" w:before="0" w:after="0"/>
        <w:ind w:firstLine="851"/>
        <w:jc w:val="both"/>
        <w:rPr>
          <w:rFonts w:ascii="Times New Roman" w:hAnsi="Times New Roman"/>
          <w:sz w:val="24"/>
          <w:szCs w:val="24"/>
          <w:lang w:val="ru-RU" w:eastAsia="bg-BG"/>
        </w:rPr>
      </w:pPr>
      <w:r>
        <w:rPr>
          <w:rFonts w:ascii="Times New Roman" w:hAnsi="Times New Roman"/>
          <w:b/>
          <w:sz w:val="24"/>
          <w:szCs w:val="24"/>
          <w:lang w:eastAsia="bg-BG"/>
        </w:rPr>
        <w:t xml:space="preserve">4. Срокът за подаване на документите за участие в търга е съгласно </w:t>
      </w:r>
      <w:r>
        <w:rPr>
          <w:rFonts w:ascii="Times New Roman" w:hAnsi="Times New Roman"/>
          <w:sz w:val="24"/>
          <w:szCs w:val="24"/>
          <w:lang w:eastAsia="bg-BG"/>
        </w:rPr>
        <w:t>указания в раздел ІV, т. 10 от настоящите условия</w:t>
      </w:r>
      <w:r>
        <w:rPr>
          <w:rFonts w:ascii="Times New Roman" w:hAnsi="Times New Roman"/>
          <w:sz w:val="24"/>
          <w:szCs w:val="24"/>
          <w:lang w:val="ru-RU" w:eastAsia="bg-BG"/>
        </w:rPr>
        <w:t>.</w:t>
      </w:r>
    </w:p>
    <w:p>
      <w:pPr>
        <w:pStyle w:val="Normal"/>
        <w:spacing w:lineRule="auto" w:line="240" w:before="0" w:after="0"/>
        <w:ind w:firstLine="851"/>
        <w:jc w:val="both"/>
        <w:rPr>
          <w:rFonts w:ascii="Times New Roman" w:hAnsi="Times New Roman"/>
          <w:b/>
          <w:b/>
          <w:sz w:val="24"/>
          <w:szCs w:val="24"/>
          <w:u w:val="single"/>
          <w:lang w:eastAsia="bg-BG"/>
        </w:rPr>
      </w:pPr>
      <w:r>
        <w:rPr>
          <w:rFonts w:ascii="Times New Roman" w:hAnsi="Times New Roman"/>
          <w:b/>
          <w:sz w:val="24"/>
          <w:szCs w:val="24"/>
          <w:lang w:eastAsia="bg-BG"/>
        </w:rPr>
        <w:t xml:space="preserve">5. </w:t>
      </w:r>
      <w:r>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pPr>
        <w:pStyle w:val="Normal"/>
        <w:spacing w:lineRule="auto" w:line="240" w:before="0" w:after="0"/>
        <w:ind w:firstLine="851"/>
        <w:jc w:val="both"/>
        <w:rPr>
          <w:rFonts w:ascii="Times New Roman" w:hAnsi="Times New Roman"/>
          <w:b/>
          <w:b/>
          <w:sz w:val="24"/>
          <w:szCs w:val="24"/>
          <w:lang w:eastAsia="bg-BG"/>
        </w:rPr>
      </w:pPr>
      <w:r>
        <w:rPr>
          <w:rFonts w:ascii="Times New Roman" w:hAnsi="Times New Roman"/>
          <w:b/>
          <w:sz w:val="24"/>
          <w:szCs w:val="24"/>
          <w:lang w:eastAsia="bg-BG"/>
        </w:rPr>
        <w:t>6. Документи за участие в процедурата: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 xml:space="preserve">6.1. </w:t>
      </w:r>
      <w:r>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Pr>
          <w:rFonts w:ascii="Times New Roman" w:hAnsi="Times New Roman"/>
          <w:sz w:val="24"/>
          <w:szCs w:val="24"/>
          <w:lang w:val="en-US" w:eastAsia="bg-BG"/>
        </w:rPr>
        <w:t xml:space="preserve"> </w:t>
      </w:r>
      <w:r>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pPr>
        <w:pStyle w:val="Normal"/>
        <w:spacing w:lineRule="auto" w:line="240" w:before="0" w:after="0"/>
        <w:ind w:firstLine="851"/>
        <w:jc w:val="both"/>
        <w:rPr/>
      </w:pPr>
      <w:r>
        <w:rPr>
          <w:rFonts w:ascii="Times New Roman" w:hAnsi="Times New Roman"/>
          <w:b/>
          <w:sz w:val="24"/>
          <w:szCs w:val="24"/>
          <w:u w:val="single"/>
          <w:lang w:eastAsia="bg-BG"/>
        </w:rPr>
        <w:t>Забележка:</w:t>
      </w:r>
      <w:r>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Търговския регистър.</w:t>
      </w:r>
    </w:p>
    <w:p>
      <w:pPr>
        <w:pStyle w:val="Normal"/>
        <w:spacing w:lineRule="auto" w:line="240" w:before="0" w:after="0"/>
        <w:ind w:firstLine="851"/>
        <w:jc w:val="both"/>
        <w:textAlignment w:val="center"/>
        <w:rPr>
          <w:rFonts w:ascii="Times New Roman" w:hAnsi="Times New Roman"/>
          <w:b/>
          <w:b/>
          <w:sz w:val="24"/>
          <w:szCs w:val="24"/>
          <w:lang w:eastAsia="bg-BG"/>
        </w:rPr>
      </w:pPr>
      <w:r>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 xml:space="preserve">6.2. </w:t>
      </w:r>
      <w:r>
        <w:rPr>
          <w:rFonts w:ascii="Times New Roman" w:hAnsi="Times New Roman"/>
          <w:sz w:val="24"/>
          <w:szCs w:val="24"/>
          <w:lang w:eastAsia="bg-BG"/>
        </w:rPr>
        <w:t xml:space="preserve">Документ за внесена гаранция за участие – представя се </w:t>
      </w:r>
      <w:r>
        <w:rPr>
          <w:rFonts w:ascii="Times New Roman" w:hAnsi="Times New Roman"/>
          <w:sz w:val="24"/>
          <w:szCs w:val="24"/>
          <w:lang w:eastAsia="ar-SA"/>
        </w:rPr>
        <w:t>в сканиран вид, като прикачен файл.</w:t>
      </w:r>
    </w:p>
    <w:p>
      <w:pPr>
        <w:pStyle w:val="Normal"/>
        <w:tabs>
          <w:tab w:val="left" w:pos="0" w:leader="none"/>
        </w:tabs>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pPr>
        <w:pStyle w:val="Normal"/>
        <w:tabs>
          <w:tab w:val="left" w:pos="0" w:leader="none"/>
        </w:tabs>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pPr>
        <w:pStyle w:val="Normal"/>
        <w:spacing w:lineRule="auto" w:line="240" w:before="0" w:after="0"/>
        <w:ind w:firstLine="851"/>
        <w:jc w:val="both"/>
        <w:textAlignment w:val="center"/>
        <w:rPr>
          <w:rFonts w:ascii="Times New Roman" w:hAnsi="Times New Roman"/>
          <w:b/>
          <w:b/>
          <w:sz w:val="24"/>
          <w:szCs w:val="24"/>
          <w:lang w:eastAsia="bg-BG"/>
        </w:rPr>
      </w:pPr>
      <w:r>
        <w:rPr>
          <w:rFonts w:ascii="Times New Roman" w:hAnsi="Times New Roman"/>
          <w:b/>
          <w:sz w:val="24"/>
          <w:szCs w:val="24"/>
          <w:lang w:eastAsia="bg-BG"/>
        </w:rPr>
      </w:r>
    </w:p>
    <w:p>
      <w:pPr>
        <w:pStyle w:val="Normal"/>
        <w:spacing w:lineRule="auto" w:line="240" w:before="0" w:after="0"/>
        <w:ind w:firstLine="851"/>
        <w:jc w:val="center"/>
        <w:textAlignment w:val="center"/>
        <w:rPr/>
      </w:pPr>
      <w:r>
        <w:rPr>
          <w:rFonts w:ascii="Times New Roman" w:hAnsi="Times New Roman"/>
          <w:b/>
          <w:sz w:val="24"/>
          <w:szCs w:val="24"/>
          <w:lang w:eastAsia="bg-BG"/>
        </w:rPr>
        <w:t>VІІ. ДОПУСКАНЕ ДО УЧАСТИЕ В НАДДАВАНЕ. РЕД И НАЧИН ЗА ПРОВЕЖДАНЕ НА ЕЛЕКТРОННИЯ ТЪРГ.</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7.1.</w:t>
      </w:r>
      <w:r>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срок в раздел ІV, т. 10 от настоящите условия.</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7.2.</w:t>
      </w:r>
      <w:r>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7.3.</w:t>
      </w:r>
      <w:r>
        <w:rPr>
          <w:rFonts w:ascii="Times New Roman" w:hAnsi="Times New Roman"/>
          <w:sz w:val="24"/>
          <w:szCs w:val="24"/>
          <w:lang w:eastAsia="bg-BG"/>
        </w:rPr>
        <w:t xml:space="preserve"> Комисията отстранява от участие в търга кандидат:</w:t>
      </w:r>
    </w:p>
    <w:p>
      <w:pPr>
        <w:pStyle w:val="Normal"/>
        <w:spacing w:lineRule="auto" w:line="240" w:before="0" w:after="0"/>
        <w:ind w:firstLine="851"/>
        <w:jc w:val="both"/>
        <w:rPr/>
      </w:pPr>
      <w:r>
        <w:rPr>
          <w:rFonts w:ascii="Times New Roman" w:hAnsi="Times New Roman"/>
          <w:b/>
          <w:sz w:val="24"/>
          <w:szCs w:val="24"/>
          <w:lang w:eastAsia="bg-BG"/>
        </w:rPr>
        <w:t xml:space="preserve">7.3.1. </w:t>
      </w:r>
      <w:r>
        <w:rPr>
          <w:rFonts w:ascii="Times New Roman" w:hAnsi="Times New Roman"/>
          <w:sz w:val="24"/>
          <w:szCs w:val="24"/>
          <w:lang w:eastAsia="bg-BG"/>
        </w:rPr>
        <w:t>Който не е представил някой от изискуемите документи или те са представени във вид и съдържание, различни от изисканите;</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7.3.2</w:t>
      </w:r>
      <w:r>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8.</w:t>
      </w:r>
      <w:r>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 xml:space="preserve">8.1. </w:t>
      </w:r>
      <w:r>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 гр. Шумен.</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8.2.</w:t>
      </w:r>
      <w:r>
        <w:rPr>
          <w:rFonts w:ascii="Times New Roman" w:hAnsi="Times New Roman"/>
          <w:sz w:val="24"/>
          <w:szCs w:val="24"/>
          <w:lang w:eastAsia="bg-BG"/>
        </w:rPr>
        <w:t xml:space="preserve"> Одобрените кандидати получават УИК (уникален идентификационен код) за участие и ЛИНК за вписване за участие в същинското наддаване.</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 xml:space="preserve">9. Наддаването се извършва „онлайн“ – в реално време, като на кандидатите са ясни </w:t>
      </w:r>
      <w:r>
        <w:rPr>
          <w:rFonts w:ascii="Times New Roman" w:hAnsi="Times New Roman"/>
          <w:sz w:val="24"/>
          <w:szCs w:val="24"/>
          <w:lang w:eastAsia="bg-BG"/>
        </w:rPr>
        <w:t>обекта на търга, началната цена  и стъпката за наддаване.</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10.</w:t>
      </w:r>
      <w:r>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11.</w:t>
      </w:r>
      <w:r>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12.</w:t>
      </w:r>
      <w:r>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13.</w:t>
      </w:r>
      <w:r>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14.</w:t>
      </w:r>
      <w:r>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Pr>
          <w:rFonts w:ascii="Times New Roman" w:hAnsi="Times New Roman"/>
          <w:b/>
          <w:sz w:val="24"/>
          <w:szCs w:val="24"/>
          <w:lang w:eastAsia="bg-BG"/>
        </w:rPr>
        <w:t>се е вписал</w:t>
      </w:r>
      <w:r>
        <w:rPr>
          <w:rFonts w:ascii="Times New Roman" w:hAnsi="Times New Roman"/>
          <w:sz w:val="24"/>
          <w:szCs w:val="24"/>
          <w:lang w:eastAsia="bg-BG"/>
        </w:rPr>
        <w:t xml:space="preserve"> само един, търгът продължава с единствения </w:t>
      </w:r>
      <w:r>
        <w:rPr>
          <w:rFonts w:ascii="Times New Roman" w:hAnsi="Times New Roman"/>
          <w:b/>
          <w:sz w:val="24"/>
          <w:szCs w:val="24"/>
          <w:lang w:eastAsia="bg-BG"/>
        </w:rPr>
        <w:t xml:space="preserve">вписал </w:t>
      </w:r>
      <w:r>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Pr>
          <w:rFonts w:ascii="Times New Roman" w:hAnsi="Times New Roman"/>
          <w:b/>
          <w:sz w:val="24"/>
          <w:szCs w:val="24"/>
          <w:lang w:eastAsia="bg-BG"/>
        </w:rPr>
        <w:t xml:space="preserve">вписал </w:t>
      </w:r>
      <w:r>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15.</w:t>
      </w:r>
      <w:r>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Pr>
          <w:rFonts w:ascii="Times New Roman" w:hAnsi="Times New Roman"/>
          <w:b/>
          <w:sz w:val="24"/>
          <w:szCs w:val="24"/>
          <w:lang w:eastAsia="bg-BG"/>
        </w:rPr>
        <w:t xml:space="preserve">вписал </w:t>
      </w:r>
      <w:r>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pPr>
        <w:pStyle w:val="Normal"/>
        <w:spacing w:lineRule="auto" w:line="240" w:before="0" w:after="0"/>
        <w:ind w:firstLine="851"/>
        <w:jc w:val="both"/>
        <w:rPr/>
      </w:pPr>
      <w:r>
        <w:rPr>
          <w:rFonts w:ascii="Times New Roman" w:hAnsi="Times New Roman"/>
          <w:sz w:val="24"/>
          <w:szCs w:val="24"/>
          <w:lang w:eastAsia="bg-BG"/>
        </w:rPr>
        <w:t>16. Електронният търг завършва със заповед на органа, открил процедурата, за: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16.1</w:t>
      </w:r>
      <w:r>
        <w:rPr>
          <w:rFonts w:ascii="Times New Roman" w:hAnsi="Times New Roman"/>
          <w:sz w:val="24"/>
          <w:szCs w:val="24"/>
          <w:lang w:eastAsia="bg-BG"/>
        </w:rPr>
        <w:t>. Определяне на купувач, или</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16.2.</w:t>
      </w:r>
      <w:r>
        <w:rPr>
          <w:rFonts w:ascii="Times New Roman" w:hAnsi="Times New Roman"/>
          <w:sz w:val="24"/>
          <w:szCs w:val="24"/>
          <w:lang w:eastAsia="bg-BG"/>
        </w:rPr>
        <w:t xml:space="preserve"> Прекратяване на търга.</w:t>
      </w:r>
    </w:p>
    <w:p>
      <w:pPr>
        <w:pStyle w:val="Normal"/>
        <w:spacing w:lineRule="auto" w:line="240" w:before="0" w:after="0"/>
        <w:ind w:firstLine="851"/>
        <w:jc w:val="both"/>
        <w:rPr/>
      </w:pPr>
      <w:r>
        <w:rPr>
          <w:rFonts w:ascii="Times New Roman" w:hAnsi="Times New Roman"/>
          <w:b/>
          <w:sz w:val="24"/>
          <w:szCs w:val="24"/>
          <w:lang w:eastAsia="bg-BG"/>
        </w:rPr>
        <w:t>17</w:t>
      </w:r>
      <w:r>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Pr>
          <w:rFonts w:ascii="Times New Roman" w:hAnsi="Times New Roman"/>
          <w:b/>
          <w:sz w:val="24"/>
          <w:szCs w:val="24"/>
          <w:lang w:eastAsia="bg-BG"/>
        </w:rPr>
        <w:t>ТП</w:t>
      </w:r>
      <w:r>
        <w:rPr>
          <w:rFonts w:ascii="Times New Roman" w:hAnsi="Times New Roman"/>
          <w:sz w:val="24"/>
          <w:szCs w:val="24"/>
          <w:lang w:eastAsia="bg-BG"/>
        </w:rPr>
        <w:t xml:space="preserve"> „</w:t>
      </w:r>
      <w:r>
        <w:rPr>
          <w:rFonts w:ascii="Times New Roman" w:hAnsi="Times New Roman"/>
          <w:b/>
          <w:bCs/>
          <w:sz w:val="24"/>
          <w:szCs w:val="24"/>
          <w:lang w:eastAsia="bg-BG"/>
        </w:rPr>
        <w:t>ДЛС Паламара</w:t>
      </w:r>
      <w:r>
        <w:rPr>
          <w:rFonts w:ascii="Times New Roman" w:hAnsi="Times New Roman"/>
          <w:sz w:val="24"/>
          <w:szCs w:val="24"/>
          <w:lang w:eastAsia="bg-BG"/>
        </w:rPr>
        <w:t xml:space="preserve">”. </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r>
    </w:p>
    <w:p>
      <w:pPr>
        <w:pStyle w:val="Normal"/>
        <w:spacing w:lineRule="auto" w:line="240" w:before="0" w:after="0"/>
        <w:ind w:firstLine="851"/>
        <w:jc w:val="center"/>
        <w:rPr>
          <w:rFonts w:ascii="Times New Roman" w:hAnsi="Times New Roman"/>
          <w:b/>
          <w:b/>
          <w:sz w:val="24"/>
          <w:szCs w:val="24"/>
          <w:lang w:eastAsia="bg-BG"/>
        </w:rPr>
      </w:pPr>
      <w:r>
        <w:rPr>
          <w:rFonts w:ascii="Times New Roman" w:hAnsi="Times New Roman"/>
          <w:b/>
          <w:sz w:val="24"/>
          <w:szCs w:val="24"/>
          <w:lang w:eastAsia="bg-BG"/>
        </w:rPr>
        <w:t>VIIІ. СРОКОВЕ ЗА ПЛАЩАНЕ И ТРАНСПОРТИРАНЕ НА ЗАКУПЕНАТА ДЪРВЕСИНА.</w:t>
      </w:r>
    </w:p>
    <w:p>
      <w:pPr>
        <w:pStyle w:val="Normal"/>
        <w:tabs>
          <w:tab w:val="left" w:pos="0" w:leader="none"/>
        </w:tabs>
        <w:spacing w:lineRule="auto" w:line="240" w:before="0" w:after="0"/>
        <w:ind w:firstLine="851"/>
        <w:jc w:val="both"/>
        <w:rPr/>
      </w:pPr>
      <w:r>
        <w:rPr>
          <w:rFonts w:ascii="Times New Roman" w:hAnsi="Times New Roman"/>
          <w:b/>
          <w:sz w:val="24"/>
          <w:szCs w:val="24"/>
          <w:lang w:eastAsia="bg-BG"/>
        </w:rPr>
        <w:t>1.</w:t>
      </w:r>
      <w:r>
        <w:rPr>
          <w:rFonts w:ascii="Times New Roman" w:hAnsi="Times New Roman"/>
          <w:sz w:val="24"/>
          <w:szCs w:val="24"/>
          <w:lang w:eastAsia="bg-BG"/>
        </w:rPr>
        <w:t xml:space="preserve"> Спечелилият търга, </w:t>
      </w:r>
      <w:r>
        <w:rPr>
          <w:rFonts w:ascii="Times New Roman" w:hAnsi="Times New Roman"/>
          <w:b/>
          <w:sz w:val="24"/>
          <w:szCs w:val="24"/>
          <w:u w:val="single"/>
          <w:lang w:eastAsia="bg-BG"/>
        </w:rPr>
        <w:t>след подписване на договора и преди издаване на първия превозен билет</w:t>
      </w:r>
      <w:r>
        <w:rPr>
          <w:rFonts w:ascii="Times New Roman" w:hAnsi="Times New Roman"/>
          <w:b/>
          <w:sz w:val="24"/>
          <w:szCs w:val="24"/>
          <w:u w:val="single"/>
          <w:lang w:val="en-US" w:eastAsia="bg-BG"/>
        </w:rPr>
        <w:t xml:space="preserve"> </w:t>
      </w:r>
      <w:r>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Pr>
          <w:rFonts w:ascii="Times New Roman" w:hAnsi="Times New Roman"/>
          <w:sz w:val="24"/>
          <w:szCs w:val="24"/>
          <w:lang w:eastAsia="bg-BG"/>
        </w:rPr>
        <w:t>, както и законовоустановения размер на ДДС. След транспортиране на количество дървесина на стойност, равна на авансовата вноска, следващите плащания на дървесина се извършват на авансови вноски, внесени по сметката на продавача ТП „ДЛС Паламара“ и предхождащи извоза на дървесината.</w:t>
      </w:r>
    </w:p>
    <w:p>
      <w:pPr>
        <w:pStyle w:val="Normal"/>
        <w:tabs>
          <w:tab w:val="left" w:pos="0" w:leader="none"/>
        </w:tabs>
        <w:spacing w:lineRule="auto" w:line="240" w:before="0" w:after="0"/>
        <w:ind w:firstLine="851"/>
        <w:jc w:val="both"/>
        <w:rPr/>
      </w:pPr>
      <w:r>
        <w:rPr>
          <w:rFonts w:ascii="Times New Roman" w:hAnsi="Times New Roman"/>
          <w:sz w:val="24"/>
          <w:szCs w:val="24"/>
          <w:lang w:eastAsia="bg-BG"/>
        </w:rPr>
        <w:t>Териториално поделение „</w:t>
      </w:r>
      <w:r>
        <w:rPr>
          <w:rFonts w:ascii="Times New Roman" w:hAnsi="Times New Roman"/>
          <w:b/>
          <w:bCs/>
          <w:sz w:val="24"/>
          <w:szCs w:val="24"/>
          <w:lang w:eastAsia="bg-BG"/>
        </w:rPr>
        <w:t>ДЛС Паламара</w:t>
      </w:r>
      <w:r>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pPr>
        <w:pStyle w:val="Normal"/>
        <w:spacing w:lineRule="auto" w:line="240" w:before="0" w:after="0"/>
        <w:ind w:firstLine="851"/>
        <w:jc w:val="both"/>
        <w:rPr/>
      </w:pPr>
      <w:r>
        <w:rPr>
          <w:rFonts w:ascii="Times New Roman" w:hAnsi="Times New Roman"/>
          <w:sz w:val="24"/>
          <w:szCs w:val="24"/>
          <w:lang w:eastAsia="bg-BG"/>
        </w:rPr>
        <w:t xml:space="preserve">Дървесината се транспортира в срока на договора, но не по-късно от 14 (четиринадесет) дни след подписване на предавателно-приемателен протокол от ТП „ДЛС Паламара“. След изтичане на този срок купувачът дължи </w:t>
      </w:r>
      <w:r>
        <w:rPr>
          <w:rFonts w:ascii="Times New Roman" w:hAnsi="Times New Roman"/>
          <w:b/>
          <w:sz w:val="24"/>
          <w:szCs w:val="24"/>
          <w:lang w:eastAsia="bg-BG"/>
        </w:rPr>
        <w:t>магазинаж в размер на 0,3% за всеки просрочен ден</w:t>
      </w:r>
      <w:r>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pPr>
        <w:pStyle w:val="Normal"/>
        <w:spacing w:lineRule="auto" w:line="240" w:before="0" w:after="0"/>
        <w:ind w:firstLine="851"/>
        <w:jc w:val="both"/>
        <w:rPr>
          <w:rFonts w:ascii="Times New Roman" w:hAnsi="Times New Roman"/>
          <w:b/>
          <w:b/>
          <w:sz w:val="24"/>
          <w:szCs w:val="24"/>
          <w:lang w:val="en-US" w:eastAsia="bg-BG"/>
        </w:rPr>
      </w:pPr>
      <w:r>
        <w:rPr>
          <w:rFonts w:ascii="Times New Roman" w:hAnsi="Times New Roman"/>
          <w:b/>
          <w:sz w:val="24"/>
          <w:szCs w:val="24"/>
          <w:lang w:eastAsia="bg-BG"/>
        </w:rPr>
        <w:t>2.</w:t>
      </w:r>
      <w:r>
        <w:rPr>
          <w:rFonts w:ascii="Times New Roman" w:hAnsi="Times New Roman"/>
          <w:sz w:val="24"/>
          <w:szCs w:val="24"/>
          <w:lang w:eastAsia="bg-BG"/>
        </w:rPr>
        <w:t xml:space="preserve"> Срок за изпълнение на договора до</w:t>
      </w:r>
      <w:r>
        <w:rPr>
          <w:rFonts w:ascii="Times New Roman" w:hAnsi="Times New Roman"/>
          <w:b/>
          <w:sz w:val="24"/>
          <w:szCs w:val="24"/>
          <w:highlight w:val="yellow"/>
          <w:lang w:val="en-US" w:eastAsia="bg-BG"/>
        </w:rPr>
        <w:t xml:space="preserve"> 20.12.</w:t>
      </w:r>
      <w:r>
        <w:rPr>
          <w:rFonts w:ascii="Times New Roman" w:hAnsi="Times New Roman"/>
          <w:b/>
          <w:sz w:val="24"/>
          <w:szCs w:val="24"/>
          <w:highlight w:val="yellow"/>
          <w:lang w:eastAsia="bg-BG"/>
        </w:rPr>
        <w:t>2017г.</w:t>
      </w:r>
    </w:p>
    <w:p>
      <w:pPr>
        <w:pStyle w:val="Normal"/>
        <w:spacing w:lineRule="auto" w:line="240" w:before="0" w:after="0"/>
        <w:ind w:firstLine="851"/>
        <w:jc w:val="both"/>
        <w:rPr>
          <w:rFonts w:ascii="Times New Roman" w:hAnsi="Times New Roman"/>
          <w:sz w:val="24"/>
          <w:szCs w:val="24"/>
          <w:lang w:val="en-US" w:eastAsia="bg-BG"/>
        </w:rPr>
      </w:pPr>
      <w:r>
        <w:rPr>
          <w:rFonts w:ascii="Times New Roman" w:hAnsi="Times New Roman"/>
          <w:sz w:val="24"/>
          <w:szCs w:val="24"/>
          <w:lang w:val="en-US" w:eastAsia="bg-BG"/>
        </w:rPr>
      </w:r>
    </w:p>
    <w:p>
      <w:pPr>
        <w:pStyle w:val="Normal"/>
        <w:spacing w:lineRule="auto" w:line="240" w:before="0" w:after="0"/>
        <w:ind w:firstLine="851"/>
        <w:jc w:val="center"/>
        <w:rPr>
          <w:rFonts w:ascii="Times New Roman" w:hAnsi="Times New Roman"/>
          <w:b/>
          <w:b/>
          <w:sz w:val="24"/>
          <w:szCs w:val="24"/>
          <w:u w:val="single"/>
          <w:lang w:eastAsia="bg-BG"/>
        </w:rPr>
      </w:pPr>
      <w:r>
        <w:rPr>
          <w:rFonts w:ascii="Times New Roman" w:hAnsi="Times New Roman"/>
          <w:b/>
          <w:sz w:val="24"/>
          <w:szCs w:val="24"/>
          <w:u w:val="single"/>
          <w:lang w:eastAsia="bg-BG"/>
        </w:rPr>
        <w:t>ІХ. ПРЕКРАТЯВАНЕ НА ПРОЦЕДУРАТА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w:t>
      </w:r>
      <w:r>
        <w:rPr>
          <w:rFonts w:ascii="Times New Roman" w:hAnsi="Times New Roman"/>
          <w:sz w:val="24"/>
          <w:szCs w:val="24"/>
          <w:lang w:eastAsia="bg-BG"/>
        </w:rPr>
        <w:t xml:space="preserve"> Продавачът прекратява процедура с мотивирана заповед, когато:</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1.1.</w:t>
      </w:r>
      <w:r>
        <w:rPr>
          <w:rFonts w:ascii="Times New Roman" w:hAnsi="Times New Roman"/>
          <w:sz w:val="24"/>
          <w:szCs w:val="24"/>
          <w:lang w:eastAsia="bg-BG"/>
        </w:rPr>
        <w:t xml:space="preserve"> Не са подадени документи за участие;</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1.2.</w:t>
      </w:r>
      <w:r>
        <w:rPr>
          <w:rFonts w:ascii="Times New Roman" w:hAnsi="Times New Roman"/>
          <w:sz w:val="24"/>
          <w:szCs w:val="24"/>
          <w:lang w:eastAsia="bg-BG"/>
        </w:rPr>
        <w:t xml:space="preserve"> Кандидатът не отговарят на условията за провеждане на търга;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1.3.</w:t>
      </w:r>
      <w:r>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1.4.</w:t>
      </w:r>
      <w:r>
        <w:rPr>
          <w:rFonts w:ascii="Times New Roman" w:hAnsi="Times New Roman"/>
          <w:sz w:val="24"/>
          <w:szCs w:val="24"/>
          <w:lang w:eastAsia="bg-BG"/>
        </w:rPr>
        <w:t xml:space="preserve"> Първият и вторият класиран участник откаже да сключи договор;</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1.5.</w:t>
      </w:r>
      <w:r>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1.6.</w:t>
      </w:r>
      <w:r>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pPr>
        <w:pStyle w:val="Normal"/>
        <w:spacing w:lineRule="auto" w:line="240" w:before="0" w:after="0"/>
        <w:ind w:firstLine="851"/>
        <w:jc w:val="both"/>
        <w:rPr/>
      </w:pPr>
      <w:r>
        <w:rPr>
          <w:rFonts w:ascii="Times New Roman" w:hAnsi="Times New Roman"/>
          <w:b/>
          <w:sz w:val="24"/>
          <w:szCs w:val="24"/>
          <w:lang w:eastAsia="bg-BG"/>
        </w:rPr>
        <w:t>1.7.</w:t>
      </w:r>
      <w:r>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ѝ.</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1.8.</w:t>
      </w:r>
      <w:r>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1.9</w:t>
      </w:r>
      <w:r>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pPr>
        <w:pStyle w:val="Normal"/>
        <w:spacing w:lineRule="auto" w:line="240" w:before="0" w:after="0"/>
        <w:ind w:firstLine="851"/>
        <w:jc w:val="both"/>
        <w:rPr>
          <w:rFonts w:ascii="Times New Roman" w:hAnsi="Times New Roman"/>
          <w:sz w:val="24"/>
          <w:szCs w:val="24"/>
          <w:lang w:val="en-US" w:eastAsia="bg-BG"/>
        </w:rPr>
      </w:pPr>
      <w:r>
        <w:rPr>
          <w:rFonts w:ascii="Times New Roman" w:hAnsi="Times New Roman"/>
          <w:b/>
          <w:sz w:val="24"/>
          <w:szCs w:val="24"/>
          <w:lang w:eastAsia="bg-BG"/>
        </w:rPr>
        <w:t>2.</w:t>
      </w:r>
      <w:r>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pPr>
        <w:pStyle w:val="Normal"/>
        <w:spacing w:lineRule="auto" w:line="240" w:before="0" w:after="0"/>
        <w:ind w:firstLine="851"/>
        <w:jc w:val="both"/>
        <w:rPr>
          <w:rFonts w:ascii="Times New Roman" w:hAnsi="Times New Roman"/>
          <w:sz w:val="24"/>
          <w:szCs w:val="24"/>
          <w:lang w:val="en-US" w:eastAsia="bg-BG"/>
        </w:rPr>
      </w:pPr>
      <w:r>
        <w:rPr>
          <w:rFonts w:ascii="Times New Roman" w:hAnsi="Times New Roman"/>
          <w:sz w:val="24"/>
          <w:szCs w:val="24"/>
          <w:lang w:val="en-US" w:eastAsia="bg-BG"/>
        </w:rPr>
      </w:r>
    </w:p>
    <w:p>
      <w:pPr>
        <w:pStyle w:val="Normal"/>
        <w:keepNext/>
        <w:spacing w:lineRule="auto" w:line="240" w:before="0" w:after="0"/>
        <w:ind w:firstLine="851"/>
        <w:jc w:val="center"/>
        <w:rPr>
          <w:rFonts w:ascii="Times New Roman" w:hAnsi="Times New Roman"/>
          <w:b/>
          <w:b/>
          <w:bCs/>
          <w:sz w:val="24"/>
          <w:szCs w:val="24"/>
          <w:u w:val="single"/>
        </w:rPr>
      </w:pPr>
      <w:r>
        <w:rPr>
          <w:rFonts w:ascii="Times New Roman" w:hAnsi="Times New Roman"/>
          <w:b/>
          <w:bCs/>
          <w:sz w:val="24"/>
          <w:szCs w:val="24"/>
        </w:rPr>
        <w:t>Х. УВЕДОМЯВАНЕ ЗА ПОДПИСВАНЕ НА ДОГОВОРА.</w:t>
      </w:r>
    </w:p>
    <w:p>
      <w:pPr>
        <w:pStyle w:val="Normal"/>
        <w:spacing w:lineRule="auto" w:line="240" w:before="0" w:after="0"/>
        <w:ind w:firstLine="851"/>
        <w:jc w:val="both"/>
        <w:rPr/>
      </w:pPr>
      <w:r>
        <w:rPr>
          <w:rFonts w:ascii="Times New Roman" w:hAnsi="Times New Roman"/>
          <w:b/>
          <w:sz w:val="24"/>
          <w:szCs w:val="24"/>
          <w:lang w:eastAsia="bg-BG"/>
        </w:rPr>
        <w:t>1.</w:t>
      </w:r>
      <w:r>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2.</w:t>
      </w:r>
      <w:r>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5</w:t>
      </w:r>
      <w:r>
        <w:rPr>
          <w:rFonts w:ascii="Times New Roman" w:hAnsi="Times New Roman"/>
          <w:b/>
          <w:sz w:val="24"/>
          <w:szCs w:val="24"/>
          <w:lang w:eastAsia="bg-BG"/>
        </w:rPr>
        <w:t>%</w:t>
      </w:r>
      <w:r>
        <w:rPr>
          <w:rFonts w:ascii="Times New Roman" w:hAnsi="Times New Roman"/>
          <w:sz w:val="24"/>
          <w:szCs w:val="24"/>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Pr>
          <w:rFonts w:ascii="Times New Roman" w:hAnsi="Times New Roman"/>
          <w:b/>
          <w:sz w:val="24"/>
          <w:szCs w:val="24"/>
          <w:lang w:eastAsia="bg-BG"/>
        </w:rPr>
        <w:t xml:space="preserve">оригинал </w:t>
      </w:r>
      <w:r>
        <w:rPr>
          <w:rFonts w:ascii="Times New Roman" w:hAnsi="Times New Roman"/>
          <w:sz w:val="24"/>
          <w:szCs w:val="24"/>
          <w:lang w:eastAsia="bg-BG"/>
        </w:rPr>
        <w:t>на банкова гаранция).</w:t>
      </w:r>
    </w:p>
    <w:p>
      <w:pPr>
        <w:pStyle w:val="Normal"/>
        <w:spacing w:lineRule="auto" w:line="240" w:before="0" w:after="0"/>
        <w:ind w:firstLine="851"/>
        <w:jc w:val="both"/>
        <w:rPr/>
      </w:pPr>
      <w:r>
        <w:rPr>
          <w:rFonts w:ascii="Times New Roman" w:hAnsi="Times New Roman"/>
          <w:b/>
          <w:sz w:val="24"/>
          <w:szCs w:val="24"/>
          <w:lang w:eastAsia="bg-BG"/>
        </w:rPr>
        <w:t>3.</w:t>
      </w:r>
      <w:r>
        <w:rPr>
          <w:rFonts w:ascii="Times New Roman" w:hAnsi="Times New Roman"/>
          <w:sz w:val="24"/>
          <w:szCs w:val="24"/>
          <w:lang w:eastAsia="bg-BG"/>
        </w:rPr>
        <w:t xml:space="preserve"> ТП „ДЛС Паламара“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pPr>
        <w:pStyle w:val="Normal"/>
        <w:spacing w:lineRule="auto" w:line="240" w:before="0" w:after="0"/>
        <w:ind w:firstLine="851"/>
        <w:jc w:val="both"/>
        <w:rPr/>
      </w:pPr>
      <w:r>
        <w:rPr>
          <w:rFonts w:ascii="Times New Roman" w:hAnsi="Times New Roman"/>
          <w:b/>
          <w:sz w:val="24"/>
          <w:szCs w:val="24"/>
          <w:lang w:eastAsia="bg-BG"/>
        </w:rPr>
        <w:t>4.</w:t>
      </w:r>
      <w:r>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„ДЛС Паламара“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5.</w:t>
      </w:r>
      <w:r>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pPr>
        <w:pStyle w:val="Normal"/>
        <w:spacing w:lineRule="auto" w:line="240" w:before="0" w:after="0"/>
        <w:ind w:firstLine="851"/>
        <w:jc w:val="both"/>
        <w:rPr/>
      </w:pPr>
      <w:r>
        <w:rPr>
          <w:rFonts w:ascii="Times New Roman" w:hAnsi="Times New Roman"/>
          <w:b/>
          <w:sz w:val="24"/>
          <w:szCs w:val="24"/>
          <w:lang w:eastAsia="bg-BG"/>
        </w:rPr>
        <w:t>6.</w:t>
      </w:r>
      <w:r>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Pr>
          <w:rFonts w:ascii="Times New Roman" w:hAnsi="Times New Roman"/>
          <w:b/>
          <w:sz w:val="24"/>
          <w:szCs w:val="24"/>
          <w:lang w:eastAsia="bg-BG"/>
        </w:rPr>
        <w:t>ТП „ДЛС Паламара”</w:t>
      </w:r>
      <w:r>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 </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Органът, открил процедурата не сключва договор с определения за спечелил в случай, че:</w:t>
      </w:r>
    </w:p>
    <w:p>
      <w:pPr>
        <w:pStyle w:val="Normal"/>
        <w:overflowPunct w:val="false"/>
        <w:spacing w:lineRule="auto" w:line="240" w:before="0" w:after="0"/>
        <w:ind w:firstLine="851"/>
        <w:jc w:val="both"/>
        <w:textAlignment w:val="baseline"/>
        <w:rPr>
          <w:rFonts w:ascii="Times New Roman" w:hAnsi="Times New Roman"/>
          <w:b/>
          <w:b/>
          <w:sz w:val="24"/>
          <w:szCs w:val="24"/>
          <w:u w:val="single"/>
          <w:lang w:eastAsia="bg-BG"/>
        </w:rPr>
      </w:pPr>
      <w:r>
        <w:rPr>
          <w:rFonts w:ascii="Times New Roman" w:hAnsi="Times New Roman"/>
          <w:b/>
          <w:sz w:val="24"/>
          <w:szCs w:val="24"/>
          <w:lang w:eastAsia="bg-BG"/>
        </w:rPr>
        <w:t>1</w:t>
      </w:r>
      <w:r>
        <w:rPr>
          <w:rFonts w:ascii="Times New Roman" w:hAnsi="Times New Roman"/>
          <w:b/>
          <w:sz w:val="24"/>
          <w:szCs w:val="24"/>
          <w:u w:val="single"/>
          <w:lang w:eastAsia="bg-BG"/>
        </w:rPr>
        <w:t>. В срок от седем работни дни от определянето му за спечелил не представи:</w:t>
      </w:r>
    </w:p>
    <w:p>
      <w:pPr>
        <w:pStyle w:val="Normal"/>
        <w:overflowPunct w:val="false"/>
        <w:spacing w:lineRule="auto" w:line="240" w:before="0" w:after="0"/>
        <w:ind w:firstLine="851"/>
        <w:jc w:val="both"/>
        <w:textAlignment w:val="baseline"/>
        <w:rPr>
          <w:rFonts w:ascii="Times New Roman" w:hAnsi="Times New Roman"/>
          <w:b/>
          <w:b/>
          <w:sz w:val="24"/>
          <w:szCs w:val="24"/>
          <w:u w:val="single"/>
          <w:lang w:eastAsia="bg-BG"/>
        </w:rPr>
      </w:pPr>
      <w:r>
        <w:rPr>
          <w:rFonts w:ascii="Times New Roman" w:hAnsi="Times New Roman"/>
          <w:b/>
          <w:sz w:val="24"/>
          <w:szCs w:val="24"/>
          <w:lang w:eastAsia="bg-BG"/>
        </w:rPr>
        <w:t xml:space="preserve">1.1. </w:t>
      </w:r>
      <w:r>
        <w:rPr>
          <w:rFonts w:ascii="Times New Roman" w:hAnsi="Times New Roman"/>
          <w:sz w:val="24"/>
          <w:szCs w:val="24"/>
          <w:lang w:eastAsia="bg-BG"/>
        </w:rPr>
        <w:t xml:space="preserve">Удостоверение от органите на НАП, че кандидатът няма парични задължения към държавата, установени с влязъл в сила акт на държавен компетентен орган </w:t>
      </w:r>
      <w:r>
        <w:rPr>
          <w:rFonts w:ascii="Times New Roman" w:hAnsi="Times New Roman"/>
          <w:b/>
          <w:sz w:val="24"/>
          <w:szCs w:val="24"/>
          <w:u w:val="single"/>
          <w:lang w:eastAsia="bg-BG"/>
        </w:rPr>
        <w:t>с дата на издаване след датата на определяне на кандидата за спечелил.</w:t>
      </w:r>
    </w:p>
    <w:p>
      <w:pPr>
        <w:pStyle w:val="Normal"/>
        <w:overflowPunct w:val="false"/>
        <w:spacing w:lineRule="auto" w:line="240" w:before="0" w:after="0"/>
        <w:ind w:firstLine="851"/>
        <w:jc w:val="both"/>
        <w:textAlignment w:val="baseline"/>
        <w:rPr/>
      </w:pPr>
      <w:r>
        <w:rPr>
          <w:rFonts w:ascii="Times New Roman" w:hAnsi="Times New Roman"/>
          <w:b/>
          <w:sz w:val="24"/>
          <w:szCs w:val="24"/>
          <w:lang w:eastAsia="bg-BG"/>
        </w:rPr>
        <w:t xml:space="preserve">1.2. </w:t>
      </w:r>
      <w:r>
        <w:rPr>
          <w:rFonts w:ascii="Times New Roman" w:hAnsi="Times New Roman"/>
          <w:sz w:val="24"/>
          <w:szCs w:val="24"/>
          <w:lang w:eastAsia="bg-BG"/>
        </w:rPr>
        <w:t>Документ за внесена или учредена в полза на ТП „ДЛС Паламара“ гаранция за изпълнение на договора;</w:t>
      </w:r>
    </w:p>
    <w:p>
      <w:pPr>
        <w:pStyle w:val="Normal"/>
        <w:overflowPunct w:val="false"/>
        <w:spacing w:lineRule="auto" w:line="240" w:before="0" w:after="0"/>
        <w:ind w:firstLine="851"/>
        <w:jc w:val="both"/>
        <w:textAlignment w:val="baseline"/>
        <w:rPr>
          <w:rFonts w:ascii="Times New Roman" w:hAnsi="Times New Roman"/>
          <w:sz w:val="24"/>
          <w:szCs w:val="24"/>
          <w:lang w:eastAsia="bg-BG"/>
        </w:rPr>
      </w:pPr>
      <w:r>
        <w:rPr>
          <w:rFonts w:ascii="Times New Roman" w:hAnsi="Times New Roman"/>
          <w:b/>
          <w:sz w:val="24"/>
          <w:szCs w:val="24"/>
          <w:lang w:eastAsia="bg-BG"/>
        </w:rPr>
        <w:t xml:space="preserve">1.3. </w:t>
      </w:r>
      <w:r>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pPr>
        <w:pStyle w:val="Normal"/>
        <w:spacing w:lineRule="auto" w:line="240" w:before="0" w:after="0"/>
        <w:ind w:firstLine="851"/>
        <w:jc w:val="both"/>
        <w:rPr/>
      </w:pPr>
      <w:r>
        <w:rPr>
          <w:rFonts w:ascii="Times New Roman" w:hAnsi="Times New Roman"/>
          <w:b/>
          <w:sz w:val="24"/>
          <w:szCs w:val="24"/>
          <w:lang w:eastAsia="bg-BG"/>
        </w:rPr>
        <w:t>1.4.</w:t>
      </w:r>
      <w:r>
        <w:rPr>
          <w:rFonts w:ascii="Times New Roman" w:hAnsi="Times New Roman"/>
          <w:sz w:val="24"/>
          <w:szCs w:val="24"/>
          <w:lang w:eastAsia="bg-BG"/>
        </w:rPr>
        <w:t xml:space="preserve"> Не плати 5</w:t>
      </w:r>
      <w:r>
        <w:rPr>
          <w:rFonts w:ascii="Times New Roman" w:hAnsi="Times New Roman"/>
          <w:b/>
          <w:sz w:val="24"/>
          <w:szCs w:val="24"/>
          <w:lang w:eastAsia="bg-BG"/>
        </w:rPr>
        <w:t>% (пет процента)</w:t>
      </w:r>
      <w:r>
        <w:rPr>
          <w:rFonts w:ascii="Times New Roman" w:hAnsi="Times New Roman"/>
          <w:sz w:val="24"/>
          <w:szCs w:val="24"/>
          <w:lang w:eastAsia="bg-BG"/>
        </w:rPr>
        <w:t xml:space="preserve"> от цената за обекта, за който е участвал</w:t>
      </w:r>
      <w:r>
        <w:rPr>
          <w:rFonts w:ascii="Times New Roman" w:hAnsi="Times New Roman"/>
          <w:b/>
          <w:sz w:val="24"/>
          <w:szCs w:val="24"/>
          <w:lang w:eastAsia="bg-BG"/>
        </w:rPr>
        <w:t>;</w:t>
      </w:r>
      <w:r>
        <w:rPr>
          <w:rFonts w:ascii="Times New Roman" w:hAnsi="Times New Roman"/>
          <w:b/>
          <w:sz w:val="24"/>
          <w:szCs w:val="24"/>
          <w:lang w:val="en-US" w:eastAsia="bg-BG"/>
        </w:rPr>
        <w:t xml:space="preserve"> </w:t>
      </w:r>
      <w:bookmarkStart w:id="0" w:name="_GoBack"/>
      <w:bookmarkEnd w:id="0"/>
      <w:r>
        <w:rPr>
          <w:rFonts w:ascii="Times New Roman" w:hAnsi="Times New Roman"/>
          <w:bCs/>
          <w:sz w:val="24"/>
          <w:szCs w:val="24"/>
          <w:lang w:eastAsia="bg-BG"/>
        </w:rPr>
        <w:t>по</w:t>
      </w:r>
      <w:r>
        <w:rPr>
          <w:rFonts w:ascii="Times New Roman" w:hAnsi="Times New Roman"/>
          <w:bCs/>
          <w:sz w:val="24"/>
          <w:szCs w:val="24"/>
          <w:lang w:val="en-US" w:eastAsia="bg-BG"/>
        </w:rPr>
        <w:t xml:space="preserve"> </w:t>
      </w:r>
      <w:r>
        <w:rPr>
          <w:rFonts w:ascii="Times New Roman" w:hAnsi="Times New Roman"/>
          <w:bCs/>
          <w:sz w:val="24"/>
          <w:szCs w:val="24"/>
          <w:lang w:eastAsia="bg-BG"/>
        </w:rPr>
        <w:t>сметка на</w:t>
      </w:r>
      <w:r>
        <w:rPr>
          <w:rFonts w:ascii="Times New Roman" w:hAnsi="Times New Roman"/>
          <w:bCs/>
          <w:sz w:val="24"/>
          <w:szCs w:val="24"/>
          <w:lang w:val="en-US" w:eastAsia="bg-BG"/>
        </w:rPr>
        <w:t xml:space="preserve"> </w:t>
      </w:r>
      <w:r>
        <w:rPr>
          <w:rFonts w:ascii="Times New Roman" w:hAnsi="Times New Roman"/>
          <w:bCs/>
          <w:sz w:val="24"/>
          <w:szCs w:val="24"/>
          <w:lang w:eastAsia="bg-BG"/>
        </w:rPr>
        <w:t>ТП „ДЛС Паламара“ :</w:t>
      </w:r>
      <w:r>
        <w:rPr>
          <w:rFonts w:ascii="Times New Roman" w:hAnsi="Times New Roman"/>
          <w:b/>
          <w:bCs/>
          <w:sz w:val="24"/>
          <w:szCs w:val="24"/>
          <w:lang w:eastAsia="bg-BG"/>
        </w:rPr>
        <w:t>I</w:t>
      </w:r>
      <w:r>
        <w:rPr>
          <w:rFonts w:ascii="Times New Roman" w:hAnsi="Times New Roman"/>
          <w:b/>
          <w:sz w:val="24"/>
          <w:szCs w:val="24"/>
          <w:lang w:val="en-US" w:eastAsia="bg-BG"/>
        </w:rPr>
        <w:t xml:space="preserve">BAN: </w:t>
      </w:r>
      <w:r>
        <w:rPr>
          <w:rFonts w:ascii="Times New Roman" w:hAnsi="Times New Roman"/>
          <w:b/>
          <w:sz w:val="24"/>
          <w:szCs w:val="24"/>
          <w:lang w:val="en-US" w:bidi="en-US"/>
        </w:rPr>
        <w:t>BG98 DEMI 9240 1</w:t>
      </w:r>
      <w:r>
        <w:rPr>
          <w:rFonts w:ascii="Times New Roman" w:hAnsi="Times New Roman"/>
          <w:b/>
          <w:sz w:val="24"/>
          <w:szCs w:val="24"/>
          <w:lang w:val="en-US" w:eastAsia="bg-BG"/>
        </w:rPr>
        <w:t xml:space="preserve">000 1525 05, BIC: </w:t>
      </w:r>
      <w:r>
        <w:rPr>
          <w:rFonts w:ascii="Times New Roman" w:hAnsi="Times New Roman"/>
          <w:b/>
          <w:sz w:val="24"/>
          <w:szCs w:val="24"/>
          <w:lang w:val="en-US" w:bidi="en-US"/>
        </w:rPr>
        <w:t>DEMI BGSF</w:t>
      </w:r>
      <w:r>
        <w:rPr>
          <w:rFonts w:ascii="Times New Roman" w:hAnsi="Times New Roman"/>
          <w:b/>
          <w:sz w:val="24"/>
          <w:szCs w:val="24"/>
          <w:lang w:val="en-US" w:eastAsia="bg-BG"/>
        </w:rPr>
        <w:t>, при Банка: Търговска банка „Д” АД</w:t>
      </w:r>
      <w:r>
        <w:rPr>
          <w:rFonts w:ascii="Times New Roman" w:hAnsi="Times New Roman"/>
          <w:b/>
          <w:sz w:val="24"/>
          <w:szCs w:val="24"/>
          <w:lang w:eastAsia="bg-BG"/>
        </w:rPr>
        <w:t>, клон: Шумен, офис: с. Венец.</w:t>
      </w:r>
    </w:p>
    <w:p>
      <w:pPr>
        <w:pStyle w:val="Normal"/>
        <w:overflowPunct w:val="false"/>
        <w:spacing w:lineRule="auto" w:line="240" w:before="0" w:after="0"/>
        <w:ind w:firstLine="851"/>
        <w:jc w:val="both"/>
        <w:textAlignment w:val="baseline"/>
        <w:rPr>
          <w:rFonts w:ascii="Times New Roman" w:hAnsi="Times New Roman"/>
          <w:b/>
          <w:b/>
          <w:sz w:val="24"/>
          <w:szCs w:val="24"/>
          <w:lang w:eastAsia="bg-BG"/>
        </w:rPr>
      </w:pPr>
      <w:r>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pPr>
        <w:pStyle w:val="Normal"/>
        <w:overflowPunct w:val="false"/>
        <w:spacing w:lineRule="auto" w:line="240" w:before="0" w:after="0"/>
        <w:ind w:firstLine="851"/>
        <w:jc w:val="both"/>
        <w:textAlignment w:val="baseline"/>
        <w:rPr>
          <w:rFonts w:ascii="Times New Roman" w:hAnsi="Times New Roman"/>
          <w:sz w:val="24"/>
          <w:szCs w:val="24"/>
          <w:lang w:val="en-US" w:eastAsia="bg-BG"/>
        </w:rPr>
      </w:pPr>
      <w:r>
        <w:rPr>
          <w:rFonts w:ascii="Times New Roman" w:hAnsi="Times New Roman"/>
          <w:b/>
          <w:sz w:val="24"/>
          <w:szCs w:val="24"/>
          <w:lang w:eastAsia="bg-BG"/>
        </w:rPr>
        <w:t xml:space="preserve">2. </w:t>
      </w:r>
      <w:r>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pPr>
        <w:pStyle w:val="Normal"/>
        <w:overflowPunct w:val="false"/>
        <w:spacing w:lineRule="auto" w:line="240" w:before="0" w:after="0"/>
        <w:ind w:firstLine="851"/>
        <w:jc w:val="both"/>
        <w:textAlignment w:val="baseline"/>
        <w:rPr>
          <w:rFonts w:ascii="Times New Roman" w:hAnsi="Times New Roman"/>
          <w:sz w:val="24"/>
          <w:szCs w:val="24"/>
          <w:lang w:val="en-US" w:eastAsia="bg-BG"/>
        </w:rPr>
      </w:pPr>
      <w:r>
        <w:rPr>
          <w:rFonts w:ascii="Times New Roman" w:hAnsi="Times New Roman"/>
          <w:sz w:val="24"/>
          <w:szCs w:val="24"/>
          <w:lang w:val="en-US" w:eastAsia="bg-BG"/>
        </w:rPr>
      </w:r>
    </w:p>
    <w:p>
      <w:pPr>
        <w:pStyle w:val="Normal"/>
        <w:overflowPunct w:val="false"/>
        <w:spacing w:lineRule="auto" w:line="240" w:before="0" w:after="0"/>
        <w:ind w:firstLine="851"/>
        <w:jc w:val="center"/>
        <w:textAlignment w:val="baseline"/>
        <w:rPr>
          <w:rFonts w:ascii="Times New Roman" w:hAnsi="Times New Roman"/>
          <w:b/>
          <w:b/>
          <w:bCs/>
          <w:sz w:val="24"/>
          <w:szCs w:val="24"/>
          <w:lang w:eastAsia="bg-BG"/>
        </w:rPr>
      </w:pPr>
      <w:r>
        <w:rPr>
          <w:rFonts w:ascii="Times New Roman" w:hAnsi="Times New Roman"/>
          <w:b/>
          <w:bCs/>
          <w:sz w:val="24"/>
          <w:szCs w:val="24"/>
          <w:lang w:eastAsia="bg-BG"/>
        </w:rPr>
        <w:t>ХІ. ОСВОБОЖДАВАНЕ НА ГАРАНЦИИТЕ ЗА УЧАСТИЕ</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sz w:val="24"/>
          <w:szCs w:val="24"/>
          <w:lang w:eastAsia="bg-BG"/>
        </w:rPr>
        <w:t>Продавачът освобождава гаранциите за участие на:</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1.</w:t>
      </w:r>
      <w:r>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pPr>
        <w:pStyle w:val="Normal"/>
        <w:spacing w:lineRule="auto" w:line="240" w:before="0" w:after="0"/>
        <w:ind w:firstLine="851"/>
        <w:jc w:val="both"/>
        <w:rPr>
          <w:rFonts w:ascii="Times New Roman" w:hAnsi="Times New Roman"/>
          <w:sz w:val="24"/>
          <w:szCs w:val="24"/>
          <w:lang w:eastAsia="bg-BG"/>
        </w:rPr>
      </w:pPr>
      <w:r>
        <w:rPr>
          <w:rFonts w:ascii="Times New Roman" w:hAnsi="Times New Roman"/>
          <w:b/>
          <w:sz w:val="24"/>
          <w:szCs w:val="24"/>
          <w:lang w:eastAsia="bg-BG"/>
        </w:rPr>
        <w:t>2.</w:t>
      </w:r>
      <w:r>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pPr>
        <w:pStyle w:val="Normal"/>
        <w:suppressAutoHyphens w:val="true"/>
        <w:spacing w:lineRule="auto" w:line="240" w:before="0" w:after="0"/>
        <w:ind w:firstLine="851"/>
        <w:jc w:val="both"/>
        <w:rPr>
          <w:rFonts w:ascii="Times New Roman" w:hAnsi="Times New Roman"/>
          <w:sz w:val="24"/>
          <w:szCs w:val="24"/>
          <w:lang w:eastAsia="ar-SA"/>
        </w:rPr>
      </w:pPr>
      <w:r>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pPr>
        <w:pStyle w:val="Normal"/>
        <w:suppressAutoHyphens w:val="true"/>
        <w:spacing w:lineRule="auto" w:line="240" w:before="0" w:after="0"/>
        <w:ind w:firstLine="851"/>
        <w:jc w:val="both"/>
        <w:rPr>
          <w:rFonts w:ascii="Times New Roman" w:hAnsi="Times New Roman"/>
          <w:sz w:val="24"/>
          <w:szCs w:val="24"/>
          <w:lang w:val="en-US" w:eastAsia="ar-SA"/>
        </w:rPr>
      </w:pPr>
      <w:r>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pPr>
        <w:pStyle w:val="Normal"/>
        <w:suppressAutoHyphens w:val="true"/>
        <w:spacing w:lineRule="auto" w:line="240" w:before="0" w:after="0"/>
        <w:ind w:firstLine="851"/>
        <w:jc w:val="both"/>
        <w:rPr>
          <w:rFonts w:ascii="Times New Roman" w:hAnsi="Times New Roman"/>
          <w:sz w:val="24"/>
          <w:szCs w:val="24"/>
          <w:lang w:val="en-US" w:eastAsia="ar-SA"/>
        </w:rPr>
      </w:pPr>
      <w:r>
        <w:rPr>
          <w:rFonts w:ascii="Times New Roman" w:hAnsi="Times New Roman"/>
          <w:sz w:val="24"/>
          <w:szCs w:val="24"/>
          <w:lang w:val="en-US" w:eastAsia="ar-SA"/>
        </w:rPr>
      </w:r>
    </w:p>
    <w:p>
      <w:pPr>
        <w:pStyle w:val="Normal"/>
        <w:suppressAutoHyphens w:val="true"/>
        <w:spacing w:lineRule="auto" w:line="240" w:before="0" w:after="0"/>
        <w:ind w:firstLine="851"/>
        <w:jc w:val="center"/>
        <w:rPr>
          <w:rFonts w:ascii="Times New Roman" w:hAnsi="Times New Roman"/>
          <w:b/>
          <w:b/>
          <w:sz w:val="24"/>
          <w:szCs w:val="24"/>
          <w:lang w:eastAsia="ar-SA"/>
        </w:rPr>
      </w:pPr>
      <w:r>
        <w:rPr>
          <w:rFonts w:ascii="Times New Roman" w:hAnsi="Times New Roman"/>
          <w:b/>
          <w:sz w:val="24"/>
          <w:szCs w:val="24"/>
          <w:lang w:val="en-US" w:eastAsia="ar-SA"/>
        </w:rPr>
        <w:t>XII</w:t>
      </w:r>
      <w:r>
        <w:rPr>
          <w:rFonts w:ascii="Times New Roman" w:hAnsi="Times New Roman"/>
          <w:b/>
          <w:sz w:val="24"/>
          <w:szCs w:val="24"/>
          <w:lang w:eastAsia="ar-SA"/>
        </w:rPr>
        <w:t>. ЗАДЪРЖАНЕ НА ГАРАНЦИИТЕ ЗА УЧАСТИЕ</w:t>
      </w:r>
    </w:p>
    <w:p>
      <w:pPr>
        <w:pStyle w:val="Normal"/>
        <w:suppressAutoHyphens w:val="true"/>
        <w:spacing w:lineRule="auto" w:line="240" w:before="0" w:after="0"/>
        <w:ind w:firstLine="851"/>
        <w:jc w:val="both"/>
        <w:rPr>
          <w:rFonts w:ascii="Times New Roman" w:hAnsi="Times New Roman"/>
          <w:sz w:val="24"/>
          <w:szCs w:val="24"/>
          <w:lang w:eastAsia="ar-SA"/>
        </w:rPr>
      </w:pPr>
      <w:r>
        <w:rPr>
          <w:rFonts w:ascii="Times New Roman" w:hAnsi="Times New Roman"/>
          <w:sz w:val="24"/>
          <w:szCs w:val="24"/>
          <w:lang w:eastAsia="ar-SA"/>
        </w:rPr>
        <w:t>Органът, открил процедурата задържа гаранцията за участие, когато кандидатът:</w:t>
      </w:r>
    </w:p>
    <w:p>
      <w:pPr>
        <w:pStyle w:val="Normal"/>
        <w:suppressAutoHyphens w:val="true"/>
        <w:spacing w:lineRule="auto" w:line="240" w:before="0" w:after="0"/>
        <w:ind w:firstLine="851"/>
        <w:jc w:val="both"/>
        <w:rPr>
          <w:rFonts w:ascii="Times New Roman" w:hAnsi="Times New Roman"/>
          <w:sz w:val="24"/>
          <w:szCs w:val="24"/>
          <w:lang w:eastAsia="ar-SA"/>
        </w:rPr>
      </w:pPr>
      <w:r>
        <w:rPr>
          <w:rFonts w:ascii="Times New Roman" w:hAnsi="Times New Roman"/>
          <w:sz w:val="24"/>
          <w:szCs w:val="24"/>
          <w:lang w:eastAsia="ar-SA"/>
        </w:rPr>
        <w:t>1. Оттегля заявлението след изтичането на срока за подаването му;</w:t>
      </w:r>
    </w:p>
    <w:p>
      <w:pPr>
        <w:pStyle w:val="Normal"/>
        <w:suppressAutoHyphens w:val="true"/>
        <w:spacing w:lineRule="auto" w:line="240" w:before="0" w:after="0"/>
        <w:ind w:firstLine="851"/>
        <w:jc w:val="both"/>
        <w:rPr>
          <w:rFonts w:ascii="Times New Roman" w:hAnsi="Times New Roman"/>
          <w:sz w:val="24"/>
          <w:szCs w:val="24"/>
          <w:lang w:eastAsia="ar-SA"/>
        </w:rPr>
      </w:pPr>
      <w:r>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pPr>
        <w:pStyle w:val="Normal"/>
        <w:suppressAutoHyphens w:val="true"/>
        <w:spacing w:lineRule="auto" w:line="240" w:before="0" w:after="0"/>
        <w:ind w:firstLine="851"/>
        <w:jc w:val="both"/>
        <w:rPr>
          <w:rFonts w:ascii="Times New Roman" w:hAnsi="Times New Roman"/>
          <w:sz w:val="24"/>
          <w:szCs w:val="24"/>
          <w:lang w:val="en-US" w:eastAsia="ar-SA"/>
        </w:rPr>
      </w:pPr>
      <w:r>
        <w:rPr>
          <w:rFonts w:ascii="Times New Roman" w:hAnsi="Times New Roman"/>
          <w:sz w:val="24"/>
          <w:szCs w:val="24"/>
          <w:lang w:eastAsia="ar-SA"/>
        </w:rPr>
        <w:t>3. Е определен за спечелил, но не изпълни задължението си за сключване на договор.</w:t>
      </w:r>
    </w:p>
    <w:p>
      <w:pPr>
        <w:pStyle w:val="Normal"/>
        <w:suppressAutoHyphens w:val="true"/>
        <w:spacing w:lineRule="auto" w:line="240" w:before="0" w:after="0"/>
        <w:ind w:firstLine="851"/>
        <w:jc w:val="both"/>
        <w:rPr>
          <w:rFonts w:ascii="Times New Roman" w:hAnsi="Times New Roman"/>
          <w:sz w:val="24"/>
          <w:szCs w:val="24"/>
          <w:lang w:val="en-US" w:eastAsia="ar-SA"/>
        </w:rPr>
      </w:pPr>
      <w:r>
        <w:rPr>
          <w:rFonts w:ascii="Times New Roman" w:hAnsi="Times New Roman"/>
          <w:sz w:val="24"/>
          <w:szCs w:val="24"/>
          <w:lang w:val="en-US" w:eastAsia="ar-SA"/>
        </w:rPr>
      </w:r>
    </w:p>
    <w:p>
      <w:pPr>
        <w:pStyle w:val="Normal"/>
        <w:suppressAutoHyphens w:val="true"/>
        <w:spacing w:lineRule="auto" w:line="240" w:before="0" w:after="0"/>
        <w:ind w:firstLine="851"/>
        <w:jc w:val="center"/>
        <w:rPr>
          <w:rFonts w:ascii="Times New Roman" w:hAnsi="Times New Roman"/>
          <w:b/>
          <w:b/>
          <w:sz w:val="24"/>
          <w:szCs w:val="24"/>
          <w:lang w:eastAsia="ar-SA"/>
        </w:rPr>
      </w:pPr>
      <w:r>
        <w:rPr>
          <w:rFonts w:ascii="Times New Roman" w:hAnsi="Times New Roman"/>
          <w:b/>
          <w:sz w:val="24"/>
          <w:szCs w:val="24"/>
          <w:lang w:val="en-US" w:eastAsia="ar-SA"/>
        </w:rPr>
        <w:t>XIII</w:t>
      </w:r>
      <w:r>
        <w:rPr>
          <w:rFonts w:ascii="Times New Roman" w:hAnsi="Times New Roman"/>
          <w:b/>
          <w:sz w:val="24"/>
          <w:szCs w:val="24"/>
          <w:lang w:eastAsia="ar-SA"/>
        </w:rPr>
        <w:t>. ДОПЪЛНИТЕЛНИ РАЗРПОРЕДБИ.</w:t>
      </w:r>
    </w:p>
    <w:p>
      <w:pPr>
        <w:pStyle w:val="Normal"/>
        <w:suppressAutoHyphens w:val="true"/>
        <w:spacing w:lineRule="auto" w:line="240" w:before="0" w:after="0"/>
        <w:ind w:firstLine="851"/>
        <w:jc w:val="both"/>
        <w:rPr>
          <w:rFonts w:ascii="Times New Roman" w:hAnsi="Times New Roman"/>
          <w:sz w:val="24"/>
          <w:szCs w:val="24"/>
          <w:lang w:eastAsia="ar-SA"/>
        </w:rPr>
      </w:pPr>
      <w:r>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pPr>
        <w:pStyle w:val="Normal"/>
        <w:suppressAutoHyphens w:val="true"/>
        <w:spacing w:lineRule="auto" w:line="240" w:before="0" w:after="0"/>
        <w:ind w:firstLine="851"/>
        <w:jc w:val="both"/>
        <w:rPr>
          <w:rFonts w:ascii="Times New Roman" w:hAnsi="Times New Roman"/>
          <w:sz w:val="24"/>
          <w:szCs w:val="24"/>
          <w:lang w:eastAsia="ar-SA"/>
        </w:rPr>
      </w:pPr>
      <w:r>
        <w:rPr>
          <w:rFonts w:ascii="Times New Roman" w:hAnsi="Times New Roman"/>
          <w:sz w:val="24"/>
          <w:szCs w:val="24"/>
          <w:lang w:eastAsia="ar-SA"/>
        </w:rPr>
      </w:r>
    </w:p>
    <w:p>
      <w:pPr>
        <w:pStyle w:val="Normal"/>
        <w:suppressAutoHyphens w:val="true"/>
        <w:spacing w:lineRule="auto" w:line="240" w:before="0" w:after="0"/>
        <w:ind w:firstLine="851"/>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ind w:firstLine="851"/>
        <w:jc w:val="both"/>
        <w:rPr>
          <w:rFonts w:ascii="Times New Roman" w:hAnsi="Times New Roman"/>
          <w:i/>
          <w:i/>
          <w:sz w:val="24"/>
          <w:szCs w:val="24"/>
          <w:lang w:val="ru-RU" w:eastAsia="ar-SA"/>
        </w:rPr>
      </w:pPr>
      <w:r>
        <w:rPr>
          <w:rFonts w:ascii="Times New Roman" w:hAnsi="Times New Roman"/>
          <w:i/>
          <w:sz w:val="24"/>
          <w:szCs w:val="24"/>
          <w:lang w:val="ru-RU" w:eastAsia="ar-SA"/>
        </w:rPr>
      </w:r>
    </w:p>
    <w:p>
      <w:pPr>
        <w:pStyle w:val="Normal"/>
        <w:spacing w:lineRule="auto" w:line="259" w:before="0" w:after="160"/>
        <w:ind w:firstLine="851"/>
        <w:rPr/>
      </w:pPr>
      <w:r>
        <w:rPr/>
      </w:r>
    </w:p>
    <w:p>
      <w:pPr>
        <w:pStyle w:val="Normal"/>
        <w:spacing w:before="0" w:after="200"/>
        <w:ind w:firstLine="851"/>
        <w:rPr/>
      </w:pPr>
      <w:r>
        <w:rPr/>
      </w:r>
    </w:p>
    <w:sectPr>
      <w:headerReference w:type="default" r:id="rId5"/>
      <w:headerReference w:type="first" r:id="rId6"/>
      <w:type w:val="nextPage"/>
      <w:pgSz w:w="11906" w:h="16838"/>
      <w:pgMar w:left="1080" w:right="1080" w:header="227" w:top="606" w:footer="0" w:bottom="1258"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Century Gothic">
    <w:charset w:val="01"/>
    <w:family w:val="roman"/>
    <w:pitch w:val="variable"/>
  </w:font>
  <w:font w:name="Nimbus Roman No9 L">
    <w:altName w:val="Times New Roman"/>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lang w:val="en-US"/>
      </w:rPr>
    </w:pPr>
    <w:r>
      <w:rPr>
        <w:lang w:val="en-U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211"/>
        </w:tabs>
        <w:ind w:left="1211" w:hanging="360"/>
      </w:pPr>
      <w:rPr>
        <w:sz w:val="24"/>
        <w:b/>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bg-BG" w:eastAsia="bg-BG"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398e"/>
    <w:pPr>
      <w:widowControl/>
      <w:bidi w:val="0"/>
      <w:spacing w:lineRule="auto" w:line="276" w:before="0" w:after="200"/>
      <w:jc w:val="left"/>
    </w:pPr>
    <w:rPr>
      <w:rFonts w:ascii="Calibri" w:hAnsi="Calibri" w:eastAsia="Calibri" w:cs="Times New Roman"/>
      <w:color w:val="00000A"/>
      <w:sz w:val="22"/>
      <w:szCs w:val="22"/>
      <w:lang w:val="bg-BG" w:eastAsia="en-US" w:bidi="ar-SA"/>
    </w:rPr>
  </w:style>
  <w:style w:type="character" w:styleId="DefaultParagraphFont" w:default="1">
    <w:name w:val="Default Paragraph Font"/>
    <w:uiPriority w:val="1"/>
    <w:semiHidden/>
    <w:unhideWhenUsed/>
    <w:qFormat/>
    <w:rPr/>
  </w:style>
  <w:style w:type="character" w:styleId="Style14" w:customStyle="1">
    <w:name w:val="Горен колонтитул Знак"/>
    <w:uiPriority w:val="99"/>
    <w:semiHidden/>
    <w:qFormat/>
    <w:locked/>
    <w:rsid w:val="00df328e"/>
    <w:rPr>
      <w:rFonts w:cs="Times New Roman"/>
    </w:rPr>
  </w:style>
  <w:style w:type="character" w:styleId="Style15" w:customStyle="1">
    <w:name w:val="Изнесен текст Знак"/>
    <w:uiPriority w:val="99"/>
    <w:semiHidden/>
    <w:qFormat/>
    <w:locked/>
    <w:rsid w:val="00df328e"/>
    <w:rPr>
      <w:rFonts w:ascii="Tahoma" w:hAnsi="Tahoma" w:cs="Tahoma"/>
      <w:sz w:val="16"/>
      <w:szCs w:val="16"/>
    </w:rPr>
  </w:style>
  <w:style w:type="character" w:styleId="Style16" w:customStyle="1">
    <w:name w:val="Долен колонтитул Знак"/>
    <w:uiPriority w:val="99"/>
    <w:qFormat/>
    <w:locked/>
    <w:rsid w:val="00b31f5c"/>
    <w:rPr>
      <w:rFonts w:cs="Times New Roman"/>
    </w:rPr>
  </w:style>
  <w:style w:type="character" w:styleId="ListLabel1" w:customStyle="1">
    <w:name w:val="ListLabel 1"/>
    <w:qFormat/>
    <w:rsid w:val="00010806"/>
    <w:rPr>
      <w:rFonts w:cs="Times New Roman"/>
    </w:rPr>
  </w:style>
  <w:style w:type="character" w:styleId="ListLabel2" w:customStyle="1">
    <w:name w:val="ListLabel 2"/>
    <w:qFormat/>
    <w:rsid w:val="00010806"/>
    <w:rPr>
      <w:rFonts w:cs="Times New Roman"/>
    </w:rPr>
  </w:style>
  <w:style w:type="character" w:styleId="ListLabel3" w:customStyle="1">
    <w:name w:val="ListLabel 3"/>
    <w:qFormat/>
    <w:rsid w:val="00010806"/>
    <w:rPr>
      <w:rFonts w:cs="Times New Roman"/>
    </w:rPr>
  </w:style>
  <w:style w:type="character" w:styleId="ListLabel4" w:customStyle="1">
    <w:name w:val="ListLabel 4"/>
    <w:qFormat/>
    <w:rsid w:val="00010806"/>
    <w:rPr>
      <w:rFonts w:cs="Times New Roman"/>
    </w:rPr>
  </w:style>
  <w:style w:type="character" w:styleId="ListLabel5" w:customStyle="1">
    <w:name w:val="ListLabel 5"/>
    <w:qFormat/>
    <w:rsid w:val="00010806"/>
    <w:rPr>
      <w:rFonts w:cs="Times New Roman"/>
    </w:rPr>
  </w:style>
  <w:style w:type="character" w:styleId="ListLabel6" w:customStyle="1">
    <w:name w:val="ListLabel 6"/>
    <w:qFormat/>
    <w:rsid w:val="00010806"/>
    <w:rPr>
      <w:rFonts w:ascii="Times New Roman" w:hAnsi="Times New Roman" w:cs="Times New Roman"/>
      <w:b/>
      <w:sz w:val="24"/>
    </w:rPr>
  </w:style>
  <w:style w:type="character" w:styleId="ListLabel7" w:customStyle="1">
    <w:name w:val="ListLabel 7"/>
    <w:qFormat/>
    <w:rsid w:val="00010806"/>
    <w:rPr>
      <w:rFonts w:cs="Times New Roman"/>
    </w:rPr>
  </w:style>
  <w:style w:type="character" w:styleId="ListLabel8" w:customStyle="1">
    <w:name w:val="ListLabel 8"/>
    <w:qFormat/>
    <w:rsid w:val="00010806"/>
    <w:rPr>
      <w:rFonts w:cs="Times New Roman"/>
    </w:rPr>
  </w:style>
  <w:style w:type="character" w:styleId="ListLabel9" w:customStyle="1">
    <w:name w:val="ListLabel 9"/>
    <w:qFormat/>
    <w:rsid w:val="00010806"/>
    <w:rPr>
      <w:rFonts w:cs="Times New Roman"/>
    </w:rPr>
  </w:style>
  <w:style w:type="character" w:styleId="ListLabel10" w:customStyle="1">
    <w:name w:val="ListLabel 10"/>
    <w:qFormat/>
    <w:rsid w:val="00010806"/>
    <w:rPr>
      <w:rFonts w:cs="Times New Roman"/>
    </w:rPr>
  </w:style>
  <w:style w:type="character" w:styleId="ListLabel11" w:customStyle="1">
    <w:name w:val="ListLabel 11"/>
    <w:qFormat/>
    <w:rsid w:val="00010806"/>
    <w:rPr>
      <w:rFonts w:cs="Times New Roman"/>
    </w:rPr>
  </w:style>
  <w:style w:type="character" w:styleId="ListLabel12" w:customStyle="1">
    <w:name w:val="ListLabel 12"/>
    <w:qFormat/>
    <w:rsid w:val="00010806"/>
    <w:rPr>
      <w:rFonts w:cs="Times New Roman"/>
    </w:rPr>
  </w:style>
  <w:style w:type="character" w:styleId="ListLabel13" w:customStyle="1">
    <w:name w:val="ListLabel 13"/>
    <w:qFormat/>
    <w:rsid w:val="00010806"/>
    <w:rPr>
      <w:rFonts w:cs="Times New Roman"/>
    </w:rPr>
  </w:style>
  <w:style w:type="character" w:styleId="ListLabel14" w:customStyle="1">
    <w:name w:val="ListLabel 14"/>
    <w:qFormat/>
    <w:rsid w:val="00010806"/>
    <w:rPr>
      <w:rFonts w:cs="Times New Roman"/>
    </w:rPr>
  </w:style>
  <w:style w:type="character" w:styleId="ListLabel15" w:customStyle="1">
    <w:name w:val="ListLabel 15"/>
    <w:qFormat/>
    <w:rsid w:val="00010806"/>
    <w:rPr>
      <w:rFonts w:ascii="Times New Roman" w:hAnsi="Times New Roman" w:cs="Times New Roman"/>
      <w:b/>
      <w:sz w:val="24"/>
    </w:rPr>
  </w:style>
  <w:style w:type="character" w:styleId="ListLabel16" w:customStyle="1">
    <w:name w:val="ListLabel 16"/>
    <w:qFormat/>
    <w:rsid w:val="00010806"/>
    <w:rPr>
      <w:rFonts w:cs="Times New Roman"/>
    </w:rPr>
  </w:style>
  <w:style w:type="character" w:styleId="ListLabel17" w:customStyle="1">
    <w:name w:val="ListLabel 17"/>
    <w:qFormat/>
    <w:rsid w:val="00010806"/>
    <w:rPr>
      <w:rFonts w:cs="Times New Roman"/>
    </w:rPr>
  </w:style>
  <w:style w:type="character" w:styleId="ListLabel18" w:customStyle="1">
    <w:name w:val="ListLabel 18"/>
    <w:qFormat/>
    <w:rsid w:val="00010806"/>
    <w:rPr>
      <w:rFonts w:cs="Times New Roman"/>
    </w:rPr>
  </w:style>
  <w:style w:type="character" w:styleId="ListLabel19" w:customStyle="1">
    <w:name w:val="ListLabel 19"/>
    <w:qFormat/>
    <w:rsid w:val="00010806"/>
    <w:rPr>
      <w:rFonts w:cs="Times New Roman"/>
    </w:rPr>
  </w:style>
  <w:style w:type="character" w:styleId="ListLabel20" w:customStyle="1">
    <w:name w:val="ListLabel 20"/>
    <w:qFormat/>
    <w:rsid w:val="00010806"/>
    <w:rPr>
      <w:rFonts w:cs="Times New Roman"/>
    </w:rPr>
  </w:style>
  <w:style w:type="character" w:styleId="ListLabel21" w:customStyle="1">
    <w:name w:val="ListLabel 21"/>
    <w:qFormat/>
    <w:rsid w:val="00010806"/>
    <w:rPr>
      <w:rFonts w:cs="Times New Roman"/>
    </w:rPr>
  </w:style>
  <w:style w:type="character" w:styleId="ListLabel22" w:customStyle="1">
    <w:name w:val="ListLabel 22"/>
    <w:qFormat/>
    <w:rsid w:val="00010806"/>
    <w:rPr>
      <w:rFonts w:cs="Times New Roman"/>
    </w:rPr>
  </w:style>
  <w:style w:type="character" w:styleId="ListLabel23" w:customStyle="1">
    <w:name w:val="ListLabel 23"/>
    <w:qFormat/>
    <w:rsid w:val="00010806"/>
    <w:rPr>
      <w:rFonts w:cs="Times New Roman"/>
    </w:rPr>
  </w:style>
  <w:style w:type="character" w:styleId="Style17" w:customStyle="1">
    <w:name w:val="Връзка към Интернет"/>
    <w:rsid w:val="00010806"/>
    <w:rPr>
      <w:color w:val="0000FF"/>
      <w:u w:val="single"/>
    </w:rPr>
  </w:style>
  <w:style w:type="character" w:styleId="ListLabel24" w:customStyle="1">
    <w:name w:val="ListLabel 24"/>
    <w:qFormat/>
    <w:rsid w:val="00010806"/>
    <w:rPr>
      <w:rFonts w:cs="Times New Roman"/>
      <w:b/>
      <w:sz w:val="24"/>
    </w:rPr>
  </w:style>
  <w:style w:type="character" w:styleId="ListLabel25" w:customStyle="1">
    <w:name w:val="ListLabel 25"/>
    <w:qFormat/>
    <w:rsid w:val="00010806"/>
    <w:rPr>
      <w:rFonts w:cs="Times New Roman"/>
    </w:rPr>
  </w:style>
  <w:style w:type="character" w:styleId="ListLabel26" w:customStyle="1">
    <w:name w:val="ListLabel 26"/>
    <w:qFormat/>
    <w:rsid w:val="00010806"/>
    <w:rPr>
      <w:rFonts w:cs="Times New Roman"/>
    </w:rPr>
  </w:style>
  <w:style w:type="character" w:styleId="ListLabel27" w:customStyle="1">
    <w:name w:val="ListLabel 27"/>
    <w:qFormat/>
    <w:rsid w:val="00010806"/>
    <w:rPr>
      <w:rFonts w:cs="Times New Roman"/>
    </w:rPr>
  </w:style>
  <w:style w:type="character" w:styleId="ListLabel28" w:customStyle="1">
    <w:name w:val="ListLabel 28"/>
    <w:qFormat/>
    <w:rsid w:val="00010806"/>
    <w:rPr>
      <w:rFonts w:cs="Times New Roman"/>
    </w:rPr>
  </w:style>
  <w:style w:type="character" w:styleId="ListLabel29" w:customStyle="1">
    <w:name w:val="ListLabel 29"/>
    <w:qFormat/>
    <w:rsid w:val="00010806"/>
    <w:rPr>
      <w:rFonts w:cs="Times New Roman"/>
    </w:rPr>
  </w:style>
  <w:style w:type="character" w:styleId="ListLabel30" w:customStyle="1">
    <w:name w:val="ListLabel 30"/>
    <w:qFormat/>
    <w:rsid w:val="00010806"/>
    <w:rPr>
      <w:rFonts w:cs="Times New Roman"/>
    </w:rPr>
  </w:style>
  <w:style w:type="character" w:styleId="ListLabel31" w:customStyle="1">
    <w:name w:val="ListLabel 31"/>
    <w:qFormat/>
    <w:rsid w:val="00010806"/>
    <w:rPr>
      <w:rFonts w:cs="Times New Roman"/>
    </w:rPr>
  </w:style>
  <w:style w:type="character" w:styleId="ListLabel32" w:customStyle="1">
    <w:name w:val="ListLabel 32"/>
    <w:qFormat/>
    <w:rsid w:val="00010806"/>
    <w:rPr>
      <w:rFonts w:cs="Times New Roman"/>
    </w:rPr>
  </w:style>
  <w:style w:type="character" w:styleId="ListLabel33" w:customStyle="1">
    <w:name w:val="ListLabel 33"/>
    <w:qFormat/>
    <w:rsid w:val="00010806"/>
    <w:rPr>
      <w:rFonts w:cs="Times New Roman"/>
      <w:b/>
      <w:sz w:val="24"/>
    </w:rPr>
  </w:style>
  <w:style w:type="character" w:styleId="ListLabel34" w:customStyle="1">
    <w:name w:val="ListLabel 34"/>
    <w:qFormat/>
    <w:rsid w:val="00010806"/>
    <w:rPr>
      <w:rFonts w:cs="Times New Roman"/>
    </w:rPr>
  </w:style>
  <w:style w:type="character" w:styleId="ListLabel35" w:customStyle="1">
    <w:name w:val="ListLabel 35"/>
    <w:qFormat/>
    <w:rsid w:val="00010806"/>
    <w:rPr>
      <w:rFonts w:cs="Times New Roman"/>
    </w:rPr>
  </w:style>
  <w:style w:type="character" w:styleId="ListLabel36" w:customStyle="1">
    <w:name w:val="ListLabel 36"/>
    <w:qFormat/>
    <w:rsid w:val="00010806"/>
    <w:rPr>
      <w:rFonts w:cs="Times New Roman"/>
    </w:rPr>
  </w:style>
  <w:style w:type="character" w:styleId="ListLabel37" w:customStyle="1">
    <w:name w:val="ListLabel 37"/>
    <w:qFormat/>
    <w:rsid w:val="00010806"/>
    <w:rPr>
      <w:rFonts w:cs="Times New Roman"/>
    </w:rPr>
  </w:style>
  <w:style w:type="character" w:styleId="ListLabel38" w:customStyle="1">
    <w:name w:val="ListLabel 38"/>
    <w:qFormat/>
    <w:rsid w:val="00010806"/>
    <w:rPr>
      <w:rFonts w:cs="Times New Roman"/>
    </w:rPr>
  </w:style>
  <w:style w:type="character" w:styleId="ListLabel39" w:customStyle="1">
    <w:name w:val="ListLabel 39"/>
    <w:qFormat/>
    <w:rsid w:val="00010806"/>
    <w:rPr>
      <w:rFonts w:cs="Times New Roman"/>
    </w:rPr>
  </w:style>
  <w:style w:type="character" w:styleId="ListLabel40" w:customStyle="1">
    <w:name w:val="ListLabel 40"/>
    <w:qFormat/>
    <w:rsid w:val="00010806"/>
    <w:rPr>
      <w:rFonts w:cs="Times New Roman"/>
    </w:rPr>
  </w:style>
  <w:style w:type="character" w:styleId="ListLabel41" w:customStyle="1">
    <w:name w:val="ListLabel 41"/>
    <w:qFormat/>
    <w:rsid w:val="00010806"/>
    <w:rPr>
      <w:rFonts w:cs="Times New Roman"/>
    </w:rPr>
  </w:style>
  <w:style w:type="character" w:styleId="ListLabel42" w:customStyle="1">
    <w:name w:val="ListLabel 42"/>
    <w:qFormat/>
    <w:rPr>
      <w:rFonts w:cs="Times New Roman"/>
      <w:b/>
      <w:sz w:val="24"/>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b/>
      <w:sz w:val="24"/>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b/>
      <w:sz w:val="24"/>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b/>
      <w:sz w:val="24"/>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b/>
      <w:sz w:val="24"/>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b/>
      <w:sz w:val="24"/>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b/>
      <w:sz w:val="24"/>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b/>
      <w:sz w:val="24"/>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name w:val="ListLabel 114"/>
    <w:qFormat/>
    <w:rPr>
      <w:rFonts w:cs="Times New Roman"/>
      <w:b/>
      <w:sz w:val="24"/>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b/>
      <w:sz w:val="24"/>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paragraph" w:styleId="Style18" w:customStyle="1">
    <w:name w:val="Заглавие"/>
    <w:basedOn w:val="Normal"/>
    <w:next w:val="Style19"/>
    <w:qFormat/>
    <w:rsid w:val="00010806"/>
    <w:pPr>
      <w:keepNext/>
      <w:spacing w:before="240" w:after="120"/>
    </w:pPr>
    <w:rPr>
      <w:rFonts w:ascii="Liberation Sans" w:hAnsi="Liberation Sans" w:eastAsia="Noto Sans CJK SC Regular" w:cs="FreeSans"/>
      <w:sz w:val="28"/>
      <w:szCs w:val="28"/>
    </w:rPr>
  </w:style>
  <w:style w:type="paragraph" w:styleId="Style19">
    <w:name w:val="Body Text"/>
    <w:basedOn w:val="Normal"/>
    <w:rsid w:val="00010806"/>
    <w:pPr>
      <w:spacing w:lineRule="auto" w:line="288" w:before="0" w:after="140"/>
    </w:pPr>
    <w:rPr/>
  </w:style>
  <w:style w:type="paragraph" w:styleId="Style20">
    <w:name w:val="List"/>
    <w:basedOn w:val="Style19"/>
    <w:rsid w:val="00010806"/>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customStyle="1">
    <w:name w:val="Указател"/>
    <w:basedOn w:val="Normal"/>
    <w:qFormat/>
    <w:rsid w:val="00010806"/>
    <w:pPr>
      <w:suppressLineNumbers/>
    </w:pPr>
    <w:rPr>
      <w:rFonts w:cs="FreeSans"/>
    </w:rPr>
  </w:style>
  <w:style w:type="paragraph" w:styleId="Caption">
    <w:name w:val="caption"/>
    <w:basedOn w:val="Normal"/>
    <w:qFormat/>
    <w:rsid w:val="00010806"/>
    <w:pPr>
      <w:suppressLineNumbers/>
      <w:spacing w:before="120" w:after="120"/>
    </w:pPr>
    <w:rPr>
      <w:rFonts w:cs="FreeSans"/>
      <w:i/>
      <w:iCs/>
      <w:sz w:val="24"/>
      <w:szCs w:val="24"/>
    </w:rPr>
  </w:style>
  <w:style w:type="paragraph" w:styleId="Style23">
    <w:name w:val="Header"/>
    <w:basedOn w:val="Normal"/>
    <w:uiPriority w:val="99"/>
    <w:semiHidden/>
    <w:rsid w:val="00df328e"/>
    <w:pPr>
      <w:tabs>
        <w:tab w:val="center" w:pos="4536" w:leader="none"/>
        <w:tab w:val="right" w:pos="9072" w:leader="none"/>
      </w:tabs>
      <w:spacing w:lineRule="auto" w:line="240" w:before="0" w:after="0"/>
    </w:pPr>
    <w:rPr/>
  </w:style>
  <w:style w:type="paragraph" w:styleId="BalloonText">
    <w:name w:val="Balloon Text"/>
    <w:basedOn w:val="Normal"/>
    <w:uiPriority w:val="99"/>
    <w:semiHidden/>
    <w:qFormat/>
    <w:rsid w:val="00df328e"/>
    <w:pPr>
      <w:spacing w:lineRule="auto" w:line="240" w:before="0" w:after="0"/>
    </w:pPr>
    <w:rPr>
      <w:rFonts w:ascii="Tahoma" w:hAnsi="Tahoma" w:cs="Tahoma"/>
      <w:sz w:val="16"/>
      <w:szCs w:val="16"/>
    </w:rPr>
  </w:style>
  <w:style w:type="paragraph" w:styleId="Style24">
    <w:name w:val="Footer"/>
    <w:basedOn w:val="Normal"/>
    <w:uiPriority w:val="99"/>
    <w:rsid w:val="00b31f5c"/>
    <w:pPr>
      <w:tabs>
        <w:tab w:val="center" w:pos="4536" w:leader="none"/>
        <w:tab w:val="right" w:pos="9072" w:leader="none"/>
      </w:tabs>
      <w:spacing w:lineRule="auto" w:line="240" w:before="0" w:after="0"/>
    </w:pPr>
    <w:rPr/>
  </w:style>
  <w:style w:type="paragraph" w:styleId="Style25" w:customStyle="1">
    <w:name w:val="Таблица - съдържание"/>
    <w:basedOn w:val="Normal"/>
    <w:qFormat/>
    <w:rsid w:val="00010806"/>
    <w:pPr/>
    <w:rPr/>
  </w:style>
  <w:style w:type="paragraph" w:styleId="Style26" w:customStyle="1">
    <w:name w:val="Таблица - заглавие"/>
    <w:basedOn w:val="Style25"/>
    <w:qFormat/>
    <w:rsid w:val="00010806"/>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ls.palamara@dpshumen.bg" TargetMode="External"/><Relationship Id="rId4" Type="http://schemas.openxmlformats.org/officeDocument/2006/relationships/hyperlink" Target="mailto:ddspalamara@abv.b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8803-3F8E-46CC-B897-B06781E6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Application>LibreOffice/5.1.6.2$Linux_X86_64 LibreOffice_project/10m0$Build-2</Application>
  <Pages>7</Pages>
  <Words>3123</Words>
  <Characters>17220</Characters>
  <CharactersWithSpaces>20160</CharactersWithSpaces>
  <Paragraphs>217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2017-08-09T12:47:00Z</dcterms:created>
  <dc:creator>ZhAleksiev</dc:creator>
  <dc:description/>
  <dc:language>bg-BG</dc:language>
  <cp:lastModifiedBy/>
  <dcterms:modified xsi:type="dcterms:W3CDTF">2017-10-31T12:46:40Z</dcterms:modified>
  <cp:revision>72</cp:revision>
  <dc:subject/>
  <dc:title>У С Л О В И 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